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558"/>
      </w:tblGrid>
      <w:tr>
        <w:tblPrEx/>
        <w:trPr/>
        <w:tc>
          <w:tcPr>
            <w:tcW w:w="9558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/>
            <w:bookmarkStart w:id="0" w:name="undefined"/>
            <w:r/>
            <w:bookmarkEnd w:id="0"/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Сведения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bottom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b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szCs w:val="24"/>
                <w:highlight w:val="white"/>
              </w:rPr>
              <w:t xml:space="preserve">КПРФ – политическая партия </w:t>
            </w:r>
            <w:r>
              <w:rPr>
                <w:rFonts w:ascii="PT Astra Serif" w:hAnsi="PT Astra Serif" w:cs="PT Astra Serif"/>
                <w:b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szCs w:val="24"/>
                <w:highlight w:val="white"/>
              </w:rPr>
              <w:t xml:space="preserve">КОММУНИСТИЧЕСКАЯ ПАРТИЯ РОССИЙСКОЙ ФЕДЕРАЦИИ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tbl>
      <w:tblPr>
        <w:tblW w:w="9556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42"/>
        <w:gridCol w:w="2401"/>
        <w:gridCol w:w="2546"/>
        <w:gridCol w:w="2000"/>
        <w:gridCol w:w="1888"/>
        <w:gridCol w:w="79"/>
      </w:tblGrid>
      <w:tr>
        <w:tblPrEx/>
        <w:trPr>
          <w:gridAfter w:val="1"/>
        </w:trPr>
        <w:tc>
          <w:tcPr>
            <w:gridSpan w:val="5"/>
            <w:tcW w:w="947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Общефедеральная часть списка кандидатов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42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W w:w="2401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W w:w="2546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Результаты проверки</w:t>
            </w:r>
            <w:r>
              <w:rPr>
                <w:rStyle w:val="806"/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footnoteReference w:id="2"/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W w:w="196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42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W w:w="2401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W w:w="2546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W w:w="196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gridSpan w:val="6"/>
            <w:tcW w:w="955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7"/>
        </w:trPr>
        <w:tc>
          <w:tcPr>
            <w:tcW w:w="642" w:type="dxa"/>
            <w:textDirection w:val="lrTb"/>
            <w:noWrap w:val="false"/>
          </w:tcPr>
          <w:p>
            <w:pPr>
              <w:contextualSpacing w:val="0"/>
              <w:ind w:left="0" w:firstLine="0"/>
              <w:jc w:val="left"/>
              <w:spacing w:before="0" w:after="0" w:line="276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401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Кашин Владимир Иванович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W w:w="25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965"/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нежилое здание, г. Москва,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965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96,9 кв. м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W w:w="19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7"/>
        </w:trPr>
        <w:tc>
          <w:tcPr>
            <w:tcW w:w="642" w:type="dxa"/>
            <w:textDirection w:val="lrTb"/>
            <w:noWrap w:val="false"/>
          </w:tcPr>
          <w:p>
            <w:pPr>
              <w:contextualSpacing w:val="0"/>
              <w:ind w:left="0" w:firstLine="0"/>
              <w:jc w:val="left"/>
              <w:spacing w:before="0" w:after="0" w:line="276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401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Харитонов Николай Михайлович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W w:w="2546" w:type="dxa"/>
            <w:textDirection w:val="lrTb"/>
            <w:noWrap w:val="false"/>
          </w:tcPr>
          <w:p>
            <w:pPr>
              <w:pStyle w:val="965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eastAsia="PT Astra Serif" w:cs="PT Astra Serif"/>
                <w:color w:val="000000" w:themeColor="text1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br/>
              <w:t xml:space="preserve">земельный участок, Краснодарский край,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  <w:shd w:val="clear" w:color="auto" w:fill="ffffff"/>
              </w:rPr>
            </w:r>
          </w:p>
          <w:p>
            <w:pPr>
              <w:pStyle w:val="965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1 934 кв. м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 (доля в праве общей долевой собственности, пропорциональ-ная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 размеру общей площади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принадлежащего помещения, расположенного 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многоквартирно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м доме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  <w:tc>
          <w:tcPr>
            <w:gridSpan w:val="2"/>
            <w:tcW w:w="19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Алтайский край, Республика Алтай, Республика Тыва, Сахалинская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Куулар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Лодой-Дамба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Эртинеевич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емельный участок: Республика Тыва, 956 кв. м; жилой дом, Республика Тыва, 39,7 кв. м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Черевик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Михаил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«ИНВЕСТИЦИ-ОННАЯ КОМПАНИЯ «САХАЛИН», размер доли в процентах 100 %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p>
      <w:pPr>
        <w:pStyle w:val="837"/>
        <w:jc w:val="center"/>
        <w:rPr>
          <w:rFonts w:ascii="PT Astra Serif" w:hAnsi="PT Astra Serif" w:cs="PT Astra Serif"/>
          <w:color w:val="000000" w:themeColor="text1"/>
          <w:szCs w:val="24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Республика Башкортостан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Мартов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Игорь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Олегович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декларация УСН,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797 500,0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Шайнуров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Артур Альбертович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судно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«Портовый-14» с идентификацион-ным номером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3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К-01-3340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РОСМОР-РЕЧФЛОТ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Шайнуров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Артур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Альбертович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«СКИФ», размер доли в процентах 100 %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Мартов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Игорь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Олегович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«ДИЛИЖАНС», размер доли в процентах 50 %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;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«МИГ-АЙС», размер доли в процентах 33,33 %;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«МИГ-АЙС ПЛЮС», размер доли в процентах 50 %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p>
      <w:pPr>
        <w:pStyle w:val="837"/>
        <w:jc w:val="center"/>
        <w:rPr>
          <w:rFonts w:ascii="PT Astra Serif" w:hAnsi="PT Astra Serif" w:cs="PT Astra Serif"/>
          <w:color w:val="000000" w:themeColor="text1"/>
          <w:szCs w:val="24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4"/>
        <w:gridCol w:w="2422"/>
        <w:gridCol w:w="2525"/>
        <w:gridCol w:w="2061"/>
        <w:gridCol w:w="1984"/>
        <w:gridCol w:w="62"/>
      </w:tblGrid>
      <w:tr>
        <w:tblPrEx/>
        <w:trPr/>
        <w:tc>
          <w:tcPr>
            <w:gridSpan w:val="6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4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Амурская область, Забайкальский край, Республика Бурятия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4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Мархаев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Вячеслав Михайлович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965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: земельный участок, Республика Бурятия, 557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non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6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non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Донецкая Народная Республика, Запорожская область, Луганская Народная Республика, Республика Крым, Херсонская область, город Севастополь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Нарижный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Виталий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Викторович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 декларация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3-НДФЛ: 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1 000 000,00;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1 000 000,00;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7 390 000,00;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240 000,0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Нарижный Виталий Викторович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CAN-AM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Outlander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800 EFI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Безпятов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Сергей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DAEWOO NEXIA, 2008 г.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Бебешко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Александр Николаевич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«Управляющая компания ПРОМСВЯЗЬ», инвестиционный пай, 2,99392 шт.,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6 996,85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8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Кабардино-Балкарская Республика, Карачаево-Черкесская Республика, Ставропольский край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Паштов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Борис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Султанович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«ДОМ МОЛОДЕЖИ», размер доли в процентах 100 %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p>
      <w:pPr>
        <w:pStyle w:val="837"/>
        <w:jc w:val="center"/>
        <w:rPr>
          <w:rFonts w:ascii="PT Astra Serif" w:hAnsi="PT Astra Serif" w:cs="PT Astra Serif"/>
          <w:color w:val="000000" w:themeColor="text1"/>
          <w:szCs w:val="24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9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Астраханская область, Волгоградская область, Республика Калмыки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Лучшев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Максим Алексеевич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965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: квартира, Томская область, 79,3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Лучшев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Максим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Алексеевич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«ТД НОВОХИМ СТОЛИЦА», размер доли в процентах 100 %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p>
      <w:pPr>
        <w:pStyle w:val="837"/>
        <w:jc w:val="center"/>
        <w:rPr>
          <w:rFonts w:ascii="PT Astra Serif" w:hAnsi="PT Astra Serif" w:cs="PT Astra Serif"/>
          <w:color w:val="000000" w:themeColor="text1"/>
          <w:szCs w:val="24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10,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Ленинградская область, Мурманская область, Республика Карелия, город Санкт-Петербург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Трубецкая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Наталья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Марковна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декларация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br/>
              <w:t xml:space="preserve">3-НДФЛ,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5 491 402,56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Пантелеев Сергей Михайлович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965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: здание, Ленинградская область, 72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Будеев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Вадим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«МЕДИА МАРШРУТ», размер доли в процентах 51 %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Тирон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 Евгений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ПАО «Газпром», акция, 140 шт.,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5,00 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Архангельская область, Республика Коми, Свердловская область, Ханты-Мансийский автономный округ –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Югра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Скоморохова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Римма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Виниаминовна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266 676,59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Кировская область, Республика Марий Эл, Чувашская Республика – Чувашия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Григорьева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Елена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Георгиевна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«ФОРСАЙТ», размер доли в процентах 50 %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p>
      <w:pPr>
        <w:pStyle w:val="837"/>
        <w:jc w:val="center"/>
        <w:rPr>
          <w:rFonts w:ascii="PT Astra Serif" w:hAnsi="PT Astra Serif" w:cs="PT Astra Serif"/>
          <w:color w:val="000000" w:themeColor="text1"/>
          <w:szCs w:val="24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13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Нижегородская область, Республика Мордовия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Терентьев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Александр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Георгиевич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«СИГНАЛ», </w:t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1 724 138,00</w:t>
            </w:r>
            <w:r>
              <w:rPr>
                <w:rFonts w:ascii="PT Astra Serif" w:hAnsi="PT Astra Serif" w:cs="PT Astra Serif"/>
                <w:color w:val="000000" w:themeColor="text1"/>
              </w:rPr>
            </w:r>
            <w:r>
              <w:rPr>
                <w:rFonts w:ascii="PT Astra Serif" w:hAnsi="PT Astra Serif" w:cs="PT Astra Serif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Кузякин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Дмитрий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Викторович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АКБ «Абсолют Банк»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ПАО)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, 167 869,71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Полынов Василий Федорович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965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: жилое здание, 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65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Республика Мордовия,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6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115,6 кв. м, доля в праве 1/2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461"/>
        <w:gridCol w:w="64"/>
        <w:gridCol w:w="2061"/>
        <w:gridCol w:w="1984"/>
      </w:tblGrid>
      <w:tr>
        <w:tblPrEx/>
        <w:trPr/>
        <w:tc>
          <w:tcPr>
            <w:gridSpan w:val="6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14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Иркутская область, Республика Саха (Якутия)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Бугаенко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Игорь Сергеевич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965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Республика Саха (Якутия),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6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39 992 кв. м, доля в праве 1/4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Куличкин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Вячеслав Семенович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965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65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Республика Саха (Якутия),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65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991 кв. м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Левченко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Сергей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Георгиевич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5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«СИБСТАЛЬМОНТАЖ», размер доли в процентах 14,41 %;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«УПРАВЛЕНИЕ МЕХАНИЗАЦИИ «СТАЛЬКОН-СТРУКЦИЯ», размер доли в процентах 14,41 %;</w:t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«КУПОЛ», размер доли в процентах 50 %;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«УСОЛЬСКИЙ ЗАВОД МЕТАЛЛОКОН-СТРУКЦИЙ», размер доли в процентах 14,41 %; ООО «ИЗДАТЕЛЬ-СКИЙ ЦЕНТР «САЛЮТ», размер доли в процентах 37,55 %;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«АНГАРСК-СТАЛЬКОН-СТРУКЦИЯ», размер доли в процентах 14,41 %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Сумароков Илья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Павлович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Транснефть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акция,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5 шт., 0,01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5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Транснефть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акция (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привилегирован-ная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), 5 шт., 0,01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АО ВИМ Инвестиции, инвестиционный пай, 36 380 шт.,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95 570,26;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Минфин России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10 шт., 10 000,00;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«Газпром нефть»,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10 шт., 10 000,00;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«Группа компаний «Самолет», облигация,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674 шт., 674 000,00;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«Мобильные Теле Системы»,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9 шт., 9 000,00;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Международная компания ПАО «Озон», акция,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30 шт., 0,08;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ЕвроТранс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350 шт., 350 000,00;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Транснефть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акция (привилегирован-ная), 10 шт., 0,01;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Селигдар»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300 шт., 300 000,00;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Минфин России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500 шт., 500 000,00;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ЭкоНива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275 шт., 275 000,00;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ООО «Балтийский лизинг», облигация,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300 шт., 300 000,00;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«Группа компаний «Самолет»,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298 шт., 298 000,00;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«Горно-металлургическая компания «Норильский никель»,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акция,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120 шт., 0,01;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Сбербанк, акция (привилегирован-ная), 43 шт., 3,00;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«Акционерная финансовая корпорация «Система»,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35 шт., 35 000,00;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ООО «Газпром капитал», облигация, 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9 шт.,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9 000,00;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Россети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Ленэнерго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3 шт., 3 000,00;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Минфин России облигация, 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1 071 шт.,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1 071 000,00; Международная компания ПАО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«Т-Технологии», облигация, 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145 шт., 0,36;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«Федеральная сетевая компания -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Россети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7 шт., 7 000,00;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ОАО «Российские железные дороги»,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20 шт., 20 000,00;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«НОВАТЭК», акция, 12 шт., 0,10;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Минфин России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9 шт., 9 000,00; Минфин России облигация, 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7 шт.,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7 000,00;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Международная компания ПАО «ЯНДЕКС»,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акция, 13 шт., 0,40;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Минфин России облигация,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11 шт., 11 000,00;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Совкомбанк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акция, 7 400 шт., 0,10;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«Нефтяная компания «ЛУКОЙЛ», акция,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3 шт., 0,03;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«Группа компаний «Самолет», облигация,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300 шт., 300 000,00;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государственная корпорация развития «ВЭБ.РФ», облигация, 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9 шт.,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9 000,00;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ЕвроТранс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облигация,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484 шт., 484 000,00;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«Фикс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Прайс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акция,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30 020 шт., 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Минфин России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облигация, 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8 шт.,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8 000,00;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ЕвроТранс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облигация,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500 шт., 500 000,00;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Сургутнефтегаз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акция (привилегирован-ная), 350 шт., 1,00;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АО Лизинговая компания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Роделен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», облигация, 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100 шт., 100 000,00;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Минфин России, облигация, </w:t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-6"/>
                <w:szCs w:val="24"/>
                <w:highlight w:val="white"/>
              </w:rPr>
              <w:t xml:space="preserve">298 шт., 298 000,00 </w:t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pacing w:val="-6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15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Республика Татарстан (Татарстан)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Сафин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Фадбир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Магусович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Помимо указанных кандидатом акций и иных ценных бумаг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АО ВИМ Инвестиции, инвестиционный пай, 0,41671 шт.,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21,01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16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Пермский край, Удмуртская Республика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Бондаренко Николай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spacing w:line="230" w:lineRule="auto"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ХЕНДЭ СОЛЯРИС,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837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2015 г.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17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Красноярский край, Республика Хакасия, Томская область, Ямало-Ненецкий автономный округ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Родикова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Елена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Сергеевна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оход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самозанятых,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582 200,00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Бабич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Иван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КОММЕРЧЕС-КИЙ БАНК «КРЕДИТ ЭКСПРЕСС», размер доли в процентах 10 %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18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Еврейская автономная область, Камчатский край, Магаданская область, Приморский край, Хабаровский край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Акимов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Андрей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Петрович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 декларации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3-НДФЛ: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420 000,00;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630 000,0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Конопаткин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Евгений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Григорьевич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самозанятых,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606 409,00;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декларация УСН, 5 921 572,0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3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Лазуткина Любовь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Кронидовна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 жилой дом, Камчатский край, 61,8 кв. м; земельный участок, Камчатский край, 202 кв. 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07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6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Гончаренко Сергей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:</w:t>
            </w:r>
            <w:r>
              <w:rPr>
                <w:rFonts w:ascii="PT Astra Serif" w:hAnsi="PT Astra Serif" w:cs="PT Astra Serif"/>
                <w:color w:val="000000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shd w:val="clear" w:color="auto" w:fill="ffffff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прицеп 7197 (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xkz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) 0000010-04,</w:t>
            </w:r>
            <w:r>
              <w:rPr>
                <w:rFonts w:ascii="PT Astra Serif" w:hAnsi="PT Astra Serif" w:cs="PT Astra Serif"/>
                <w:color w:val="000000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shd w:val="clear" w:color="auto" w:fill="ffffff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2018 г.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6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Конопаткин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Евгений Григорьевич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TOYOTA САRINА,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1994 г.</w:t>
            </w:r>
            <w:r>
              <w:rPr>
                <w:rFonts w:ascii="PT Astra Serif" w:hAnsi="PT Astra Serif" w:cs="PT Astra Serif"/>
                <w:color w:val="000000"/>
              </w:rPr>
            </w:r>
            <w:r>
              <w:rPr>
                <w:rFonts w:ascii="PT Astra Serif" w:hAnsi="PT Astra Serif" w:cs="PT Astra Serif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Акимов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Андрей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Петрович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СПЕЦИАЛИЗИ-РОВАННЫЙ ЗАСТРОЙЩИК «ВИЗИТ-СТРОЙ», размер доли в процентах 100 %;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«ЮМИКО ОРГАНИК КОРПО-РЕЙШН», размер доли в процентах 34 %;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СПЕЦИАЛИЗИ-РОВАННЫЙ ЗАСТРОЙЩИК «ВИЗИТ ДВ», размер доли в процентах 100 %;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«ВИЗИТ БК», размер доли в процентах 100 %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Корниенко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Алексей Викторович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АО ВИМ Инвестиции,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инвестиционный пай, 10 050 шт.,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522 097,50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Конопаткин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 Евгений Григорьевич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УК «Альфа-Капитал», инвестиционный пай, 0,10544 шт.,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100,60;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ПАО «Федеральная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гидрогенерирую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–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щая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компания -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РусГидро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», 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акция,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2 000 шт., 1,00;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ПАО «ИНАРКТИКА», акция, 1 шт., 100,00;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«УК «Альфа-Капитал», инвестиционный пай; 0,80048 шт.,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234,12;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«УК «Альфа-Капитал», инвестиционный пай; 502 шт.,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612,44;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«УК «Альфа-Капитал», инвестиционный пай, 0,02835 шт.,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228,76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pPr>
        <w:pStyle w:val="837"/>
        <w:jc w:val="center"/>
        <w:rPr>
          <w:rFonts w:ascii="PT Astra Serif" w:hAnsi="PT Astra Serif" w:cs="PT Astra Serif"/>
          <w:color w:val="000000" w:themeColor="text1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highlight w:val="white"/>
        </w:rPr>
      </w:r>
      <w:r>
        <w:rPr>
          <w:rFonts w:ascii="PT Astra Serif" w:hAnsi="PT Astra Serif" w:cs="PT Astra Serif"/>
          <w:color w:val="000000" w:themeColor="text1"/>
          <w:highlight w:val="white"/>
        </w:rPr>
      </w:r>
    </w:p>
    <w:p>
      <w:pPr>
        <w:pStyle w:val="837"/>
        <w:jc w:val="center"/>
        <w:rPr>
          <w:rFonts w:ascii="PT Astra Serif" w:hAnsi="PT Astra Serif" w:cs="PT Astra Serif"/>
          <w:color w:val="000000" w:themeColor="text1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highlight w:val="white"/>
        </w:rPr>
      </w:r>
      <w:r>
        <w:rPr>
          <w:rFonts w:ascii="PT Astra Serif" w:hAnsi="PT Astra Serif" w:cs="PT Astra Serif"/>
          <w:color w:val="000000" w:themeColor="text1"/>
          <w:highlight w:val="white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Белгородская область, Воронежская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Шашнин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Юрий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Геннадьевич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пенсия,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256 494,83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Владимирская область, Ивановская область, Костромская область, Ярославская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Клюев Антон Вячеславович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Владимирская область, 473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24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Калининградская область, Саратовская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Алимова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Ольга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Николаевна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3-НДФЛ, 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4 150 000,0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Анидалов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:</w:t>
            </w:r>
            <w:r>
              <w:rPr>
                <w:rFonts w:ascii="PT Astra Serif" w:hAnsi="PT Astra Serif" w:cs="PT Astra Serif"/>
                <w:color w:val="000000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shd w:val="clear" w:color="auto" w:fill="ffffff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КИА QLE (SPORTAGE),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83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2017 г.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Алимова Ольга 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ГАЗ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lang w:val="en-US"/>
              </w:rPr>
              <w:t xml:space="preserve"> 2705,</w:t>
            </w:r>
            <w:r>
              <w:rPr>
                <w:rFonts w:ascii="PT Astra Serif" w:hAnsi="PT Astra Serif" w:cs="PT Astra Serif"/>
                <w:color w:val="000000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lang w:val="en-US"/>
              </w:rPr>
              <w:t xml:space="preserve">2008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color w:val="000000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lang w:val="en-US"/>
              </w:rPr>
              <w:t xml:space="preserve">LADA NIVA,</w:t>
            </w:r>
            <w:r>
              <w:rPr>
                <w:rFonts w:ascii="PT Astra Serif" w:hAnsi="PT Astra Serif" w:cs="PT Astra Serif"/>
                <w:color w:val="000000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lang w:val="en-US"/>
              </w:rPr>
              <w:t xml:space="preserve">2021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25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Калужская область, Рязанская область, Тульская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Сидоров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Денис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Сергеевич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3-НДФЛ, 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4 025 000,0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26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Кемеровская область - Кузбасс, Новосибирская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Боборыкин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Михаил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Сергеевич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«ВЕТЕРИНАР-НАЯ СКОРАЯ ПОМОЩЬ», размер доли в процентах 50 %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27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Курганская область, Челябинская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Голубков Михаил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: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ВАЗ 21060,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2001 г.</w:t>
            </w:r>
            <w:r>
              <w:rPr>
                <w:rFonts w:ascii="PT Astra Serif" w:hAnsi="PT Astra Serif" w:eastAsia="PT Astra Serif" w:cs="PT Astra Serif"/>
                <w:color w:val="000000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Куркин Константин Александрович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ООО «Банк Точка»,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252 585,6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Берулава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Михаил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«ЮЖНЫЙ БЕРЕГ», размер доли в процентах 100 %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Зырянов Виктор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Леонидович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«Современные Фонды Недвижимости», инвестиционный пай,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4,017204 шт.,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515 575,92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061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29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Московская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Чмаров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Константин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Васильевич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«СК «РЕНЕССАНС ЖИЗНЬ»,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232 500,10;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«НЬЮТОН ИНВЕСТИЦИИ», 1 492 252,89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Романов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Александр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Валентинович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408 896,71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Макаренков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Виктор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Васильевич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ПАО)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, 299 254,25;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«Почта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Банк»,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461 041,55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Романов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Валентинович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Пенсия, СФР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593 228,25;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иные выплаты СФР,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441 124,50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Пенсия,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1 034 352,75;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3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1 429 314,36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Романов Александр Валентинович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965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65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 земельных участка, Московская область, 600 кв. м доля в праве 2/10; 600 кв. м доля в праве 2/9;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6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600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Никитас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Евдокимовна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КМЗ 8284,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2001 г.</w:t>
            </w:r>
            <w:r>
              <w:rPr>
                <w:rFonts w:ascii="PT Astra Serif" w:hAnsi="PT Astra Serif" w:cs="PT Astra Serif"/>
                <w:color w:val="000000"/>
              </w:rPr>
            </w:r>
            <w:r>
              <w:rPr>
                <w:rFonts w:ascii="PT Astra Serif" w:hAnsi="PT Astra Serif" w:cs="PT Astra Serif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Емельянов Олег Владиславович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ФОЛЬКСВАГЕН ТОUАRЕG,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2007 г.</w:t>
            </w:r>
            <w:r>
              <w:rPr>
                <w:rFonts w:ascii="PT Astra Serif" w:hAnsi="PT Astra Serif" w:cs="PT Astra Serif"/>
                <w:color w:val="000000"/>
              </w:rPr>
            </w:r>
            <w:r>
              <w:rPr>
                <w:rFonts w:ascii="PT Astra Serif" w:hAnsi="PT Astra Serif" w:cs="PT Astra Serif"/>
                <w:color w:val="000000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ВАЗ 21063,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83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1989 г.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Романов Александр Валентинович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280 189,88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Мокринская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Елена Федоровна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ВТБ (ПАО),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1 894 468,31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Банк ВТБ (ПАО),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br/>
              <w:t xml:space="preserve">4 095 060,05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Корнев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Александр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Андреевич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«ЭТАЖИ» - размер доли в процентах 100 %;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«СПЕЦЭКО-РЕСУРС», размер доли в процентах 50 %;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«ФИРМА ПО ОБСЛУЖИВА-НИЮ НАСЕЛЕНИЯ», размер доли в процентах 100 %;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ИНВЕСТИЦИ-ОННО-ПРОМЫШЛЕН-НАЯ КОМПАНИЯ «КАЛАН», размер доли в процентах 100 %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Иванюженков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Борис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Викторович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«ДРИАДА», размер доли в процентах 30 %</w:t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p>
      <w:pPr>
        <w:pStyle w:val="837"/>
        <w:jc w:val="center"/>
        <w:rPr>
          <w:rFonts w:ascii="PT Astra Serif" w:hAnsi="PT Astra Serif" w:cs="PT Astra Serif"/>
          <w:color w:val="000000" w:themeColor="text1"/>
          <w:szCs w:val="24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202"/>
        <w:gridCol w:w="1843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Оренбургская область, Самарская область, Ульяновская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Макаров Игорь Николаевич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Квартира, Воронежская область, 60,2 кв. м., доля в праве 1/2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Merge w:val="restart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Жилое помещение, Воронежская область 55,1 кв. м, доля в праве 1/3.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65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 нежилых помещения, Воронежская область, 52,2 кв. м, доля в праве 2/3; 52,2 кв. м, доля в праве 1/3,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Роскадастр»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Хакимов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Рамиль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Шавкятович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965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Merge w:val="restart"/>
            <w:textDirection w:val="lrTb"/>
            <w:noWrap w:val="false"/>
          </w:tcPr>
          <w:p>
            <w:pPr>
              <w:pStyle w:val="965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: земельный участок, Ульяновская область, 9 858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Шантелев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Дмитрий Анатольевич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АО «АЛЬФА-БАНК», 309 106,23;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br/>
              <w:t xml:space="preserve">460 074,5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525"/>
        <w:gridCol w:w="2202"/>
        <w:gridCol w:w="1843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33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Город Москва –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Бабушкинский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, Город Москва –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Люблинский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Город Москва –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Нагатинский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, Город Москва –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Новомосковский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, Город Москва –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Орехово -Борисовский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, Город Москва – Перовский, Город Москва – Преображенский,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Город Москва – Центральный, Город Москва –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Чертановский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Жмакин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Антон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Витальевич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3-НДФЛ, 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3 300 000,0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Жмакин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Антон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Васильевич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ООО «ДОБРОДЕНТ», размер доли в процентах 100 %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Медведев Дмитрий Леонидович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textDirection w:val="lrTb"/>
            <w:noWrap w:val="false"/>
          </w:tcPr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KBA Consulting Management Limited,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инвестиционный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, 90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.,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18 764,36;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Citibank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N.,A, депозитарная расписка,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1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., 8 906,21;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The Bank of New York Mellon,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депозитарная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расписка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1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., 1,00;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M&amp;T Bank Corporation,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, 1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.,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35,51;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KBA Consulting Management Limited,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инвестиционный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, 40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., 0,00;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Infineon Technologies AG,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акция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, 1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., 1,00;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KBA Consulting Management Limited,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инвестиционный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, 1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. 0,00;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KBA Consulting Management Limited,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инвестиционный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, 200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., 0,00;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  <w:p>
            <w:pPr>
              <w:pStyle w:val="837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KBA Consulting Management Limited,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инвестиционный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пай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, 100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., 0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lang w:val="en-US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pPr>
        <w:pStyle w:val="837"/>
        <w:jc w:val="center"/>
        <w:rPr>
          <w:rFonts w:ascii="PT Astra Serif" w:hAnsi="PT Astra Serif" w:cs="PT Astra Serif"/>
          <w:color w:val="000000" w:themeColor="text1"/>
          <w:szCs w:val="24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0" w:bottom="1134" w:left="1701" w:header="851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Liberation Serif">
    <w:panose1 w:val="02020603050405020304"/>
  </w:font>
  <w:font w:name="Times New Roman">
    <w:panose1 w:val="02020603050405020304"/>
  </w:font>
  <w:font w:name="Tahoma">
    <w:panose1 w:val="020B0604030504040204"/>
  </w:font>
  <w:font w:name="Noto Sans">
    <w:panose1 w:val="020B0502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1"/>
      <w:jc w:val="center"/>
    </w:pPr>
    <w:fldSimple w:instr="PAGE \* MERGEFORMAT">
      <w:r>
        <w:t xml:space="preserve">1</w:t>
      </w:r>
    </w:fldSimple>
    <w:r/>
    <w:r/>
  </w:p>
  <w:p>
    <w:pPr>
      <w:pStyle w:val="82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22"/>
        <w:jc w:val="both"/>
        <w:rPr>
          <w:rFonts w:ascii="PT Astra Serif" w:hAnsi="PT Astra Serif" w:cs="PT Astra Serif"/>
        </w:rPr>
      </w:pPr>
      <w:r>
        <w:rPr>
          <w:rStyle w:val="806"/>
        </w:rPr>
        <w:footnoteRef/>
      </w:r>
      <w:r>
        <w:t xml:space="preserve"> </w:t>
      </w:r>
      <w:r>
        <w:rPr>
          <w:rFonts w:ascii="PT Astra Serif" w:hAnsi="PT Astra Serif" w:eastAsia="PT Astra Serif" w:cs="PT Astra Serif"/>
        </w:rPr>
        <w:t xml:space="preserve">В отношении акций указывается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839"/>
      <w:tblW w:w="0" w:type="auto"/>
      <w:jc w:val="center"/>
      <w:tblLook w:val="04A0" w:firstRow="1" w:lastRow="0" w:firstColumn="1" w:lastColumn="0" w:noHBand="0" w:noVBand="1"/>
    </w:tblPr>
    <w:tblGrid>
      <w:gridCol w:w="612"/>
      <w:gridCol w:w="2408"/>
      <w:gridCol w:w="2534"/>
      <w:gridCol w:w="2071"/>
      <w:gridCol w:w="1946"/>
    </w:tblGrid>
    <w:tr>
      <w:tblPrEx/>
      <w:trPr>
        <w:jc w:val="center"/>
      </w:trPr>
      <w:tc>
        <w:tcPr>
          <w:tcW w:w="612" w:type="dxa"/>
          <w:textDirection w:val="lrTb"/>
          <w:noWrap w:val="false"/>
        </w:tcPr>
        <w:p>
          <w:pPr>
            <w:pStyle w:val="83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408" w:type="dxa"/>
          <w:textDirection w:val="lrTb"/>
          <w:noWrap w:val="false"/>
        </w:tcPr>
        <w:p>
          <w:pPr>
            <w:pStyle w:val="83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534" w:type="dxa"/>
          <w:textDirection w:val="lrTb"/>
          <w:noWrap w:val="false"/>
        </w:tcPr>
        <w:p>
          <w:pPr>
            <w:pStyle w:val="83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071" w:type="dxa"/>
          <w:textDirection w:val="lrTb"/>
          <w:noWrap w:val="false"/>
        </w:tcPr>
        <w:p>
          <w:pPr>
            <w:pStyle w:val="83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946" w:type="dxa"/>
          <w:textDirection w:val="lrTb"/>
          <w:noWrap w:val="false"/>
        </w:tcPr>
        <w:p>
          <w:pPr>
            <w:pStyle w:val="83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82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8" w:default="1">
    <w:name w:val="Normal"/>
    <w:qFormat/>
    <w:pPr>
      <w:spacing w:after="200" w:line="276" w:lineRule="auto"/>
    </w:pPr>
  </w:style>
  <w:style w:type="character" w:styleId="769" w:default="1">
    <w:name w:val="Default Paragraph Font"/>
    <w:uiPriority w:val="1"/>
    <w:semiHidden/>
    <w:unhideWhenUsed/>
  </w:style>
  <w:style w:type="table" w:styleId="77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1" w:default="1">
    <w:name w:val="No List"/>
    <w:uiPriority w:val="99"/>
    <w:semiHidden/>
    <w:unhideWhenUsed/>
  </w:style>
  <w:style w:type="character" w:styleId="772" w:customStyle="1">
    <w:name w:val="Title Char"/>
    <w:basedOn w:val="769"/>
    <w:link w:val="815"/>
    <w:uiPriority w:val="10"/>
    <w:rPr>
      <w:sz w:val="48"/>
      <w:szCs w:val="48"/>
    </w:rPr>
  </w:style>
  <w:style w:type="character" w:styleId="773" w:customStyle="1">
    <w:name w:val="Subtitle Char"/>
    <w:basedOn w:val="769"/>
    <w:link w:val="816"/>
    <w:uiPriority w:val="11"/>
    <w:rPr>
      <w:sz w:val="24"/>
      <w:szCs w:val="24"/>
    </w:rPr>
  </w:style>
  <w:style w:type="character" w:styleId="774" w:customStyle="1">
    <w:name w:val="Quote Char"/>
    <w:link w:val="817"/>
    <w:uiPriority w:val="29"/>
    <w:rPr>
      <w:i/>
    </w:rPr>
  </w:style>
  <w:style w:type="character" w:styleId="775" w:customStyle="1">
    <w:name w:val="Intense Quote Char"/>
    <w:link w:val="818"/>
    <w:uiPriority w:val="30"/>
    <w:rPr>
      <w:i/>
    </w:rPr>
  </w:style>
  <w:style w:type="character" w:styleId="776" w:customStyle="1">
    <w:name w:val="Footnote Text Char"/>
    <w:link w:val="822"/>
    <w:uiPriority w:val="99"/>
    <w:rPr>
      <w:sz w:val="18"/>
    </w:rPr>
  </w:style>
  <w:style w:type="character" w:styleId="777" w:customStyle="1">
    <w:name w:val="Endnote Text Char"/>
    <w:link w:val="823"/>
    <w:uiPriority w:val="99"/>
    <w:rPr>
      <w:sz w:val="20"/>
    </w:rPr>
  </w:style>
  <w:style w:type="paragraph" w:styleId="778" w:customStyle="1">
    <w:name w:val="Heading 1"/>
    <w:basedOn w:val="768"/>
    <w:next w:val="768"/>
    <w:link w:val="787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79" w:customStyle="1">
    <w:name w:val="Heading 2"/>
    <w:basedOn w:val="768"/>
    <w:next w:val="768"/>
    <w:link w:val="788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80" w:customStyle="1">
    <w:name w:val="Heading 3"/>
    <w:basedOn w:val="768"/>
    <w:next w:val="768"/>
    <w:link w:val="789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81" w:customStyle="1">
    <w:name w:val="Heading 4"/>
    <w:basedOn w:val="768"/>
    <w:next w:val="768"/>
    <w:link w:val="790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82" w:customStyle="1">
    <w:name w:val="Heading 5"/>
    <w:basedOn w:val="768"/>
    <w:next w:val="768"/>
    <w:link w:val="791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83" w:customStyle="1">
    <w:name w:val="Heading 6"/>
    <w:basedOn w:val="768"/>
    <w:next w:val="768"/>
    <w:link w:val="792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84" w:customStyle="1">
    <w:name w:val="Heading 7"/>
    <w:basedOn w:val="768"/>
    <w:next w:val="768"/>
    <w:link w:val="793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85" w:customStyle="1">
    <w:name w:val="Heading 8"/>
    <w:basedOn w:val="768"/>
    <w:next w:val="768"/>
    <w:link w:val="794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86" w:customStyle="1">
    <w:name w:val="Heading 9"/>
    <w:basedOn w:val="768"/>
    <w:next w:val="768"/>
    <w:link w:val="795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87" w:customStyle="1">
    <w:name w:val="Heading 1 Char"/>
    <w:link w:val="778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788" w:customStyle="1">
    <w:name w:val="Heading 2 Char"/>
    <w:link w:val="779"/>
    <w:uiPriority w:val="9"/>
    <w:qFormat/>
    <w:rPr>
      <w:rFonts w:ascii="Liberation Sans" w:hAnsi="Liberation Sans" w:eastAsia="Liberation Sans" w:cs="Liberation Sans"/>
      <w:sz w:val="34"/>
    </w:rPr>
  </w:style>
  <w:style w:type="character" w:styleId="789" w:customStyle="1">
    <w:name w:val="Heading 3 Char"/>
    <w:link w:val="780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790" w:customStyle="1">
    <w:name w:val="Heading 4 Char"/>
    <w:link w:val="781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91" w:customStyle="1">
    <w:name w:val="Heading 5 Char"/>
    <w:link w:val="782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92" w:customStyle="1">
    <w:name w:val="Heading 6 Char"/>
    <w:link w:val="783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93" w:customStyle="1">
    <w:name w:val="Heading 7 Char"/>
    <w:link w:val="784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94" w:customStyle="1">
    <w:name w:val="Heading 8 Char"/>
    <w:link w:val="785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95" w:customStyle="1">
    <w:name w:val="Heading 9 Char"/>
    <w:link w:val="786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96" w:customStyle="1">
    <w:name w:val="Название Знак"/>
    <w:link w:val="815"/>
    <w:uiPriority w:val="10"/>
    <w:qFormat/>
    <w:rPr>
      <w:sz w:val="48"/>
      <w:szCs w:val="48"/>
    </w:rPr>
  </w:style>
  <w:style w:type="character" w:styleId="797" w:customStyle="1">
    <w:name w:val="Подзаголовок Знак"/>
    <w:link w:val="816"/>
    <w:uiPriority w:val="11"/>
    <w:qFormat/>
    <w:rPr>
      <w:sz w:val="24"/>
      <w:szCs w:val="24"/>
    </w:rPr>
  </w:style>
  <w:style w:type="character" w:styleId="798" w:customStyle="1">
    <w:name w:val="Цитата 2 Знак"/>
    <w:link w:val="817"/>
    <w:uiPriority w:val="29"/>
    <w:qFormat/>
    <w:rPr>
      <w:i/>
    </w:rPr>
  </w:style>
  <w:style w:type="character" w:styleId="799" w:customStyle="1">
    <w:name w:val="Выделенная цитата Знак"/>
    <w:link w:val="818"/>
    <w:uiPriority w:val="30"/>
    <w:qFormat/>
    <w:rPr>
      <w:i/>
    </w:rPr>
  </w:style>
  <w:style w:type="character" w:styleId="800" w:customStyle="1">
    <w:name w:val="Header Char"/>
    <w:link w:val="820"/>
    <w:uiPriority w:val="99"/>
    <w:qFormat/>
  </w:style>
  <w:style w:type="character" w:styleId="801" w:customStyle="1">
    <w:name w:val="Footer Char"/>
    <w:link w:val="821"/>
    <w:uiPriority w:val="99"/>
    <w:qFormat/>
  </w:style>
  <w:style w:type="character" w:styleId="802" w:customStyle="1">
    <w:name w:val="Caption Char"/>
    <w:link w:val="813"/>
    <w:uiPriority w:val="35"/>
    <w:qFormat/>
    <w:rPr>
      <w:b/>
      <w:bCs/>
      <w:color w:val="5b9bd5" w:themeColor="accent1"/>
      <w:sz w:val="18"/>
      <w:szCs w:val="18"/>
    </w:rPr>
  </w:style>
  <w:style w:type="character" w:styleId="803">
    <w:name w:val="Hyperlink"/>
    <w:uiPriority w:val="99"/>
    <w:unhideWhenUsed/>
    <w:rPr>
      <w:color w:val="0563c1" w:themeColor="hyperlink"/>
      <w:u w:val="single"/>
    </w:rPr>
  </w:style>
  <w:style w:type="character" w:styleId="804" w:customStyle="1">
    <w:name w:val="Текст сноски Знак"/>
    <w:link w:val="822"/>
    <w:uiPriority w:val="99"/>
    <w:qFormat/>
    <w:rPr>
      <w:sz w:val="18"/>
    </w:rPr>
  </w:style>
  <w:style w:type="character" w:styleId="805" w:customStyle="1">
    <w:name w:val="Символ сноски"/>
    <w:uiPriority w:val="99"/>
    <w:unhideWhenUsed/>
    <w:qFormat/>
    <w:rPr>
      <w:vertAlign w:val="superscript"/>
    </w:rPr>
  </w:style>
  <w:style w:type="character" w:styleId="806">
    <w:name w:val="footnote reference"/>
    <w:rPr>
      <w:vertAlign w:val="superscript"/>
    </w:rPr>
  </w:style>
  <w:style w:type="character" w:styleId="807" w:customStyle="1">
    <w:name w:val="Текст концевой сноски Знак"/>
    <w:link w:val="823"/>
    <w:uiPriority w:val="99"/>
    <w:qFormat/>
    <w:rPr>
      <w:sz w:val="20"/>
    </w:rPr>
  </w:style>
  <w:style w:type="character" w:styleId="808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09">
    <w:name w:val="endnote reference"/>
    <w:rPr>
      <w:vertAlign w:val="superscript"/>
    </w:rPr>
  </w:style>
  <w:style w:type="paragraph" w:styleId="810" w:customStyle="1">
    <w:name w:val="Заголовок"/>
    <w:basedOn w:val="768"/>
    <w:next w:val="811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11">
    <w:name w:val="Body Text"/>
    <w:basedOn w:val="768"/>
    <w:pPr>
      <w:spacing w:after="140"/>
    </w:pPr>
  </w:style>
  <w:style w:type="paragraph" w:styleId="812">
    <w:name w:val="List"/>
    <w:basedOn w:val="811"/>
    <w:rPr>
      <w:rFonts w:cs="Noto Sans"/>
    </w:rPr>
  </w:style>
  <w:style w:type="paragraph" w:styleId="813" w:customStyle="1">
    <w:name w:val="Caption"/>
    <w:basedOn w:val="768"/>
    <w:next w:val="768"/>
    <w:link w:val="802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14">
    <w:name w:val="index heading"/>
    <w:basedOn w:val="810"/>
  </w:style>
  <w:style w:type="paragraph" w:styleId="815">
    <w:name w:val="Title"/>
    <w:basedOn w:val="768"/>
    <w:next w:val="768"/>
    <w:link w:val="796"/>
    <w:uiPriority w:val="10"/>
    <w:qFormat/>
    <w:pPr>
      <w:contextualSpacing/>
      <w:spacing w:before="300"/>
    </w:pPr>
    <w:rPr>
      <w:sz w:val="48"/>
      <w:szCs w:val="48"/>
    </w:rPr>
  </w:style>
  <w:style w:type="paragraph" w:styleId="816">
    <w:name w:val="Subtitle"/>
    <w:basedOn w:val="768"/>
    <w:next w:val="768"/>
    <w:link w:val="797"/>
    <w:uiPriority w:val="11"/>
    <w:qFormat/>
    <w:pPr>
      <w:spacing w:before="200"/>
    </w:pPr>
    <w:rPr>
      <w:sz w:val="24"/>
      <w:szCs w:val="24"/>
    </w:rPr>
  </w:style>
  <w:style w:type="paragraph" w:styleId="817">
    <w:name w:val="Quote"/>
    <w:basedOn w:val="768"/>
    <w:next w:val="768"/>
    <w:link w:val="798"/>
    <w:uiPriority w:val="29"/>
    <w:qFormat/>
    <w:pPr>
      <w:ind w:left="720" w:right="720"/>
    </w:pPr>
    <w:rPr>
      <w:i/>
    </w:rPr>
  </w:style>
  <w:style w:type="paragraph" w:styleId="818">
    <w:name w:val="Intense Quote"/>
    <w:basedOn w:val="768"/>
    <w:next w:val="768"/>
    <w:link w:val="79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19" w:customStyle="1">
    <w:name w:val="Колонтитулы"/>
    <w:basedOn w:val="768"/>
    <w:qFormat/>
  </w:style>
  <w:style w:type="paragraph" w:styleId="820" w:customStyle="1">
    <w:name w:val="Header"/>
    <w:basedOn w:val="768"/>
    <w:link w:val="8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21" w:customStyle="1">
    <w:name w:val="Footer"/>
    <w:basedOn w:val="768"/>
    <w:link w:val="8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22">
    <w:name w:val="footnote text"/>
    <w:basedOn w:val="768"/>
    <w:link w:val="804"/>
    <w:uiPriority w:val="99"/>
    <w:semiHidden/>
    <w:unhideWhenUsed/>
    <w:pPr>
      <w:spacing w:after="40" w:line="240" w:lineRule="auto"/>
    </w:pPr>
    <w:rPr>
      <w:sz w:val="18"/>
    </w:rPr>
  </w:style>
  <w:style w:type="paragraph" w:styleId="823">
    <w:name w:val="endnote text"/>
    <w:basedOn w:val="768"/>
    <w:link w:val="807"/>
    <w:uiPriority w:val="99"/>
    <w:semiHidden/>
    <w:unhideWhenUsed/>
    <w:pPr>
      <w:spacing w:after="0" w:line="240" w:lineRule="auto"/>
    </w:pPr>
    <w:rPr>
      <w:sz w:val="20"/>
    </w:rPr>
  </w:style>
  <w:style w:type="paragraph" w:styleId="824">
    <w:name w:val="toc 1"/>
    <w:basedOn w:val="768"/>
    <w:next w:val="768"/>
    <w:uiPriority w:val="39"/>
    <w:unhideWhenUsed/>
    <w:pPr>
      <w:spacing w:after="57"/>
    </w:pPr>
  </w:style>
  <w:style w:type="paragraph" w:styleId="825">
    <w:name w:val="toc 2"/>
    <w:basedOn w:val="768"/>
    <w:next w:val="768"/>
    <w:uiPriority w:val="39"/>
    <w:unhideWhenUsed/>
    <w:pPr>
      <w:ind w:left="283"/>
      <w:spacing w:after="57"/>
    </w:pPr>
  </w:style>
  <w:style w:type="paragraph" w:styleId="826">
    <w:name w:val="toc 3"/>
    <w:basedOn w:val="768"/>
    <w:next w:val="768"/>
    <w:uiPriority w:val="39"/>
    <w:unhideWhenUsed/>
    <w:pPr>
      <w:ind w:left="567"/>
      <w:spacing w:after="57"/>
    </w:pPr>
  </w:style>
  <w:style w:type="paragraph" w:styleId="827">
    <w:name w:val="toc 4"/>
    <w:basedOn w:val="768"/>
    <w:next w:val="768"/>
    <w:uiPriority w:val="39"/>
    <w:unhideWhenUsed/>
    <w:pPr>
      <w:ind w:left="850"/>
      <w:spacing w:after="57"/>
    </w:pPr>
  </w:style>
  <w:style w:type="paragraph" w:styleId="828">
    <w:name w:val="toc 5"/>
    <w:basedOn w:val="768"/>
    <w:next w:val="768"/>
    <w:uiPriority w:val="39"/>
    <w:unhideWhenUsed/>
    <w:pPr>
      <w:ind w:left="1134"/>
      <w:spacing w:after="57"/>
    </w:pPr>
  </w:style>
  <w:style w:type="paragraph" w:styleId="829">
    <w:name w:val="toc 6"/>
    <w:basedOn w:val="768"/>
    <w:next w:val="768"/>
    <w:uiPriority w:val="39"/>
    <w:unhideWhenUsed/>
    <w:pPr>
      <w:ind w:left="1417"/>
      <w:spacing w:after="57"/>
    </w:pPr>
  </w:style>
  <w:style w:type="paragraph" w:styleId="830">
    <w:name w:val="toc 7"/>
    <w:basedOn w:val="768"/>
    <w:next w:val="768"/>
    <w:uiPriority w:val="39"/>
    <w:unhideWhenUsed/>
    <w:pPr>
      <w:ind w:left="1701"/>
      <w:spacing w:after="57"/>
    </w:pPr>
  </w:style>
  <w:style w:type="paragraph" w:styleId="831">
    <w:name w:val="toc 8"/>
    <w:basedOn w:val="768"/>
    <w:next w:val="768"/>
    <w:uiPriority w:val="39"/>
    <w:unhideWhenUsed/>
    <w:pPr>
      <w:ind w:left="1984"/>
      <w:spacing w:after="57"/>
    </w:pPr>
  </w:style>
  <w:style w:type="paragraph" w:styleId="832">
    <w:name w:val="toc 9"/>
    <w:basedOn w:val="768"/>
    <w:next w:val="768"/>
    <w:uiPriority w:val="39"/>
    <w:unhideWhenUsed/>
    <w:pPr>
      <w:ind w:left="2268"/>
      <w:spacing w:after="57"/>
    </w:pPr>
  </w:style>
  <w:style w:type="paragraph" w:styleId="833">
    <w:name w:val="TOC Heading"/>
    <w:uiPriority w:val="39"/>
    <w:unhideWhenUsed/>
    <w:qFormat/>
    <w:pPr>
      <w:spacing w:after="200" w:line="276" w:lineRule="auto"/>
    </w:pPr>
  </w:style>
  <w:style w:type="paragraph" w:styleId="834">
    <w:name w:val="table of figures"/>
    <w:basedOn w:val="768"/>
    <w:next w:val="768"/>
    <w:uiPriority w:val="99"/>
    <w:unhideWhenUsed/>
    <w:pPr>
      <w:spacing w:after="0"/>
    </w:pPr>
  </w:style>
  <w:style w:type="paragraph" w:styleId="835">
    <w:name w:val="No Spacing"/>
    <w:basedOn w:val="768"/>
    <w:uiPriority w:val="1"/>
    <w:qFormat/>
    <w:pPr>
      <w:spacing w:after="0" w:line="240" w:lineRule="auto"/>
    </w:pPr>
  </w:style>
  <w:style w:type="paragraph" w:styleId="836">
    <w:name w:val="List Paragraph"/>
    <w:basedOn w:val="768"/>
    <w:uiPriority w:val="34"/>
    <w:qFormat/>
    <w:pPr>
      <w:contextualSpacing/>
      <w:ind w:left="720"/>
    </w:pPr>
  </w:style>
  <w:style w:type="paragraph" w:styleId="837" w:customStyle="1">
    <w:name w:val="ConsPlusNormal"/>
    <w:qFormat/>
    <w:pPr>
      <w:shd w:val="nil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numbering" w:styleId="838" w:customStyle="1">
    <w:name w:val="Без списка"/>
    <w:uiPriority w:val="99"/>
    <w:semiHidden/>
    <w:unhideWhenUsed/>
    <w:qFormat/>
  </w:style>
  <w:style w:type="table" w:styleId="839">
    <w:name w:val="Table Grid"/>
    <w:basedOn w:val="77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0" w:customStyle="1">
    <w:name w:val="Table Grid Light"/>
    <w:basedOn w:val="77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 w:customStyle="1">
    <w:name w:val="Plain Table 1"/>
    <w:basedOn w:val="77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2" w:customStyle="1">
    <w:name w:val="Plain Table 2"/>
    <w:basedOn w:val="770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3" w:customStyle="1">
    <w:name w:val="Plain Table 3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4" w:customStyle="1">
    <w:name w:val="Plain Table 4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45" w:customStyle="1">
    <w:name w:val="Plain Table 5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1 Light"/>
    <w:basedOn w:val="770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Grid Table 1 Light - Accent 1"/>
    <w:basedOn w:val="770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Grid Table 1 Light - Accent 2"/>
    <w:basedOn w:val="770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Grid Table 1 Light - Accent 3"/>
    <w:basedOn w:val="770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Grid Table 1 Light - Accent 4"/>
    <w:basedOn w:val="770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Grid Table 1 Light - Accent 5"/>
    <w:basedOn w:val="770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Grid Table 1 Light - Accent 6"/>
    <w:basedOn w:val="770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Grid Table 2"/>
    <w:basedOn w:val="77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2 - Accent 1"/>
    <w:basedOn w:val="770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2"/>
    <w:basedOn w:val="770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3"/>
    <w:basedOn w:val="770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4"/>
    <w:basedOn w:val="770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5"/>
    <w:basedOn w:val="770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6"/>
    <w:basedOn w:val="770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3"/>
    <w:basedOn w:val="77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3 - Accent 1"/>
    <w:basedOn w:val="770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2"/>
    <w:basedOn w:val="770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3"/>
    <w:basedOn w:val="770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4"/>
    <w:basedOn w:val="770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5"/>
    <w:basedOn w:val="770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6"/>
    <w:basedOn w:val="770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4"/>
    <w:basedOn w:val="770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68" w:customStyle="1">
    <w:name w:val="Grid Table 4 - Accent 1"/>
    <w:basedOn w:val="770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869" w:customStyle="1">
    <w:name w:val="Grid Table 4 - Accent 2"/>
    <w:basedOn w:val="770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870" w:customStyle="1">
    <w:name w:val="Grid Table 4 - Accent 3"/>
    <w:basedOn w:val="770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71" w:customStyle="1">
    <w:name w:val="Grid Table 4 - Accent 4"/>
    <w:basedOn w:val="770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872" w:customStyle="1">
    <w:name w:val="Grid Table 4 - Accent 5"/>
    <w:basedOn w:val="770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73" w:customStyle="1">
    <w:name w:val="Grid Table 4 - Accent 6"/>
    <w:basedOn w:val="770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74" w:customStyle="1">
    <w:name w:val="Grid Table 5 Dark"/>
    <w:basedOn w:val="77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75" w:customStyle="1">
    <w:name w:val="Grid Table 5 Dark- Accent 1"/>
    <w:basedOn w:val="77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 - Accent 2"/>
    <w:basedOn w:val="77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3"/>
    <w:basedOn w:val="77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- Accent 4"/>
    <w:basedOn w:val="77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 - Accent 5"/>
    <w:basedOn w:val="77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6"/>
    <w:basedOn w:val="77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6 Colorful"/>
    <w:basedOn w:val="77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2" w:customStyle="1">
    <w:name w:val="Grid Table 6 Colorful - Accent 1"/>
    <w:basedOn w:val="770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83" w:customStyle="1">
    <w:name w:val="Grid Table 6 Colorful - Accent 2"/>
    <w:basedOn w:val="77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84" w:customStyle="1">
    <w:name w:val="Grid Table 6 Colorful - Accent 3"/>
    <w:basedOn w:val="770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85" w:customStyle="1">
    <w:name w:val="Grid Table 6 Colorful - Accent 4"/>
    <w:basedOn w:val="77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86" w:customStyle="1">
    <w:name w:val="Grid Table 6 Colorful - Accent 5"/>
    <w:basedOn w:val="770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7" w:customStyle="1">
    <w:name w:val="Grid Table 6 Colorful - Accent 6"/>
    <w:basedOn w:val="770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8" w:customStyle="1">
    <w:name w:val="Grid Table 7 Colorful"/>
    <w:basedOn w:val="770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7 Colorful - Accent 1"/>
    <w:basedOn w:val="770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2"/>
    <w:basedOn w:val="770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3"/>
    <w:basedOn w:val="770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4"/>
    <w:basedOn w:val="770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7 Colorful - Accent 5"/>
    <w:basedOn w:val="770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6"/>
    <w:basedOn w:val="770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1 Light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1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2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3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4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5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6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2"/>
    <w:basedOn w:val="770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03" w:customStyle="1">
    <w:name w:val="List Table 2 - Accent 1"/>
    <w:basedOn w:val="770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04" w:customStyle="1">
    <w:name w:val="List Table 2 - Accent 2"/>
    <w:basedOn w:val="770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05" w:customStyle="1">
    <w:name w:val="List Table 2 - Accent 3"/>
    <w:basedOn w:val="770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06" w:customStyle="1">
    <w:name w:val="List Table 2 - Accent 4"/>
    <w:basedOn w:val="770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07" w:customStyle="1">
    <w:name w:val="List Table 2 - Accent 5"/>
    <w:basedOn w:val="770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08" w:customStyle="1">
    <w:name w:val="List Table 2 - Accent 6"/>
    <w:basedOn w:val="770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09" w:customStyle="1">
    <w:name w:val="List Table 3"/>
    <w:basedOn w:val="77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0" w:customStyle="1">
    <w:name w:val="List Table 3 - Accent 1"/>
    <w:basedOn w:val="770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1" w:customStyle="1">
    <w:name w:val="List Table 3 - Accent 2"/>
    <w:basedOn w:val="77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2" w:customStyle="1">
    <w:name w:val="List Table 3 - Accent 3"/>
    <w:basedOn w:val="770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3" w:customStyle="1">
    <w:name w:val="List Table 3 - Accent 4"/>
    <w:basedOn w:val="77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4" w:customStyle="1">
    <w:name w:val="List Table 3 - Accent 5"/>
    <w:basedOn w:val="770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 w:customStyle="1">
    <w:name w:val="List Table 3 - Accent 6"/>
    <w:basedOn w:val="770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 w:customStyle="1">
    <w:name w:val="List Table 4"/>
    <w:basedOn w:val="77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 w:customStyle="1">
    <w:name w:val="List Table 4 - Accent 1"/>
    <w:basedOn w:val="770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 w:customStyle="1">
    <w:name w:val="List Table 4 - Accent 2"/>
    <w:basedOn w:val="770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 w:customStyle="1">
    <w:name w:val="List Table 4 - Accent 3"/>
    <w:basedOn w:val="770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 w:customStyle="1">
    <w:name w:val="List Table 4 - Accent 4"/>
    <w:basedOn w:val="770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 w:customStyle="1">
    <w:name w:val="List Table 4 - Accent 5"/>
    <w:basedOn w:val="770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 w:customStyle="1">
    <w:name w:val="List Table 4 - Accent 6"/>
    <w:basedOn w:val="770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 w:customStyle="1">
    <w:name w:val="List Table 5 Dark"/>
    <w:basedOn w:val="77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4" w:customStyle="1">
    <w:name w:val="List Table 5 Dark - Accent 1"/>
    <w:basedOn w:val="770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5" w:customStyle="1">
    <w:name w:val="List Table 5 Dark - Accent 2"/>
    <w:basedOn w:val="77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6" w:customStyle="1">
    <w:name w:val="List Table 5 Dark - Accent 3"/>
    <w:basedOn w:val="770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7" w:customStyle="1">
    <w:name w:val="List Table 5 Dark - Accent 4"/>
    <w:basedOn w:val="77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8" w:customStyle="1">
    <w:name w:val="List Table 5 Dark - Accent 5"/>
    <w:basedOn w:val="770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9" w:customStyle="1">
    <w:name w:val="List Table 5 Dark - Accent 6"/>
    <w:basedOn w:val="770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0" w:customStyle="1">
    <w:name w:val="List Table 6 Colorful"/>
    <w:basedOn w:val="77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31" w:customStyle="1">
    <w:name w:val="List Table 6 Colorful - Accent 1"/>
    <w:basedOn w:val="770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32" w:customStyle="1">
    <w:name w:val="List Table 6 Colorful - Accent 2"/>
    <w:basedOn w:val="77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933" w:customStyle="1">
    <w:name w:val="List Table 6 Colorful - Accent 3"/>
    <w:basedOn w:val="770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934" w:customStyle="1">
    <w:name w:val="List Table 6 Colorful - Accent 4"/>
    <w:basedOn w:val="77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935" w:customStyle="1">
    <w:name w:val="List Table 6 Colorful - Accent 5"/>
    <w:basedOn w:val="770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936" w:customStyle="1">
    <w:name w:val="List Table 6 Colorful - Accent 6"/>
    <w:basedOn w:val="770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937" w:customStyle="1">
    <w:name w:val="List Table 7 Colorful"/>
    <w:basedOn w:val="770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7 Colorful - Accent 1"/>
    <w:basedOn w:val="770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2"/>
    <w:basedOn w:val="770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3"/>
    <w:basedOn w:val="770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4"/>
    <w:basedOn w:val="770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7 Colorful - Accent 5"/>
    <w:basedOn w:val="770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6"/>
    <w:basedOn w:val="770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ned - Accent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45" w:customStyle="1">
    <w:name w:val="Lined - Accent 1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46" w:customStyle="1">
    <w:name w:val="Lined - Accent 2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47" w:customStyle="1">
    <w:name w:val="Lined - Accent 3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48" w:customStyle="1">
    <w:name w:val="Lined - Accent 4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49" w:customStyle="1">
    <w:name w:val="Lined - Accent 5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50" w:customStyle="1">
    <w:name w:val="Lined - Accent 6"/>
    <w:basedOn w:val="77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51" w:customStyle="1">
    <w:name w:val="Bordered &amp; Lined - Accent"/>
    <w:basedOn w:val="770"/>
    <w:uiPriority w:val="99"/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52" w:customStyle="1">
    <w:name w:val="Bordered &amp; Lined - Accent 1"/>
    <w:basedOn w:val="770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53" w:customStyle="1">
    <w:name w:val="Bordered &amp; Lined - Accent 2"/>
    <w:basedOn w:val="770"/>
    <w:uiPriority w:val="99"/>
    <w:tblPr>
      <w:tblStyleRowBandSize w:val="1"/>
      <w:tblStyleColBandSize w:val="1"/>
      <w:tblInd w:w="0" w:type="dxa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54" w:customStyle="1">
    <w:name w:val="Bordered &amp; Lined - Accent 3"/>
    <w:basedOn w:val="770"/>
    <w:uiPriority w:val="99"/>
    <w:tblPr>
      <w:tblStyleRowBandSize w:val="1"/>
      <w:tblStyleColBandSize w:val="1"/>
      <w:tblInd w:w="0" w:type="dxa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55" w:customStyle="1">
    <w:name w:val="Bordered &amp; Lined - Accent 4"/>
    <w:basedOn w:val="770"/>
    <w:uiPriority w:val="99"/>
    <w:tblPr>
      <w:tblStyleRowBandSize w:val="1"/>
      <w:tblStyleColBandSize w:val="1"/>
      <w:tblInd w:w="0" w:type="dxa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56" w:customStyle="1">
    <w:name w:val="Bordered &amp; Lined - Accent 5"/>
    <w:basedOn w:val="770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57" w:customStyle="1">
    <w:name w:val="Bordered &amp; Lined - Accent 6"/>
    <w:basedOn w:val="770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58" w:customStyle="1">
    <w:name w:val="Bordered"/>
    <w:basedOn w:val="770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59" w:customStyle="1">
    <w:name w:val="Bordered - Accent 1"/>
    <w:basedOn w:val="770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60" w:customStyle="1">
    <w:name w:val="Bordered - Accent 2"/>
    <w:basedOn w:val="770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961" w:customStyle="1">
    <w:name w:val="Bordered - Accent 3"/>
    <w:basedOn w:val="770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962" w:customStyle="1">
    <w:name w:val="Bordered - Accent 4"/>
    <w:basedOn w:val="770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963" w:customStyle="1">
    <w:name w:val="Bordered - Accent 5"/>
    <w:basedOn w:val="770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964" w:customStyle="1">
    <w:name w:val="Bordered - Accent 6"/>
    <w:basedOn w:val="770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paragraph" w:styleId="965" w:customStyle="1">
    <w:name w:val="Table Contents"/>
    <w:qFormat/>
    <w:pPr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erif" w:hAnsi="Liberation Serif" w:eastAsia="Times New Roman" w:cs="Liberation Serif"/>
      <w:color w:val="000000"/>
      <w:sz w:val="24"/>
      <w:szCs w:val="20"/>
      <w:lang w:eastAsia="zh-CN"/>
    </w:rPr>
  </w:style>
  <w:style w:type="paragraph" w:styleId="966" w:customStyle="1">
    <w:name w:val="Header"/>
    <w:basedOn w:val="768"/>
    <w:link w:val="967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7" w:customStyle="1">
    <w:name w:val="Верхний колонтитул Знак"/>
    <w:basedOn w:val="769"/>
    <w:link w:val="966"/>
    <w:uiPriority w:val="99"/>
    <w:semiHidden/>
  </w:style>
  <w:style w:type="paragraph" w:styleId="968" w:customStyle="1">
    <w:name w:val="Footer"/>
    <w:basedOn w:val="768"/>
    <w:link w:val="969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Нижний колонтитул Знак"/>
    <w:basedOn w:val="769"/>
    <w:link w:val="968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tokmach</dc:creator>
  <dc:language>ru-RU</dc:language>
  <cp:lastModifiedBy>a.v.kalmykov</cp:lastModifiedBy>
  <cp:revision>10</cp:revision>
  <dcterms:created xsi:type="dcterms:W3CDTF">2026-08-27T12:55:00Z</dcterms:created>
  <dcterms:modified xsi:type="dcterms:W3CDTF">2026-09-04T05:59:51Z</dcterms:modified>
</cp:coreProperties>
</file>