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topFromText="142" w:bottomFromText="142" w:vertAnchor="text" w:horzAnchor="margin" w:tblpY="2"/>
        <w:tblW w:w="9606" w:type="dxa"/>
        <w:tblLayout w:type="fixed"/>
        <w:tblLook w:val="0000"/>
      </w:tblPr>
      <w:tblGrid>
        <w:gridCol w:w="4219"/>
        <w:gridCol w:w="5387"/>
      </w:tblGrid>
      <w:tr w:rsidR="00E21605" w:rsidRPr="00D70521" w:rsidTr="00E257CC">
        <w:trPr>
          <w:trHeight w:val="1554"/>
        </w:trPr>
        <w:tc>
          <w:tcPr>
            <w:tcW w:w="4219" w:type="dxa"/>
          </w:tcPr>
          <w:p w:rsidR="00E21605" w:rsidRPr="00D70521" w:rsidRDefault="00E21605" w:rsidP="00E257CC">
            <w:pPr>
              <w:pStyle w:val="31"/>
              <w:shd w:val="clear" w:color="auto" w:fill="FFFFFF"/>
              <w:tabs>
                <w:tab w:val="left" w:pos="4962"/>
              </w:tabs>
              <w:jc w:val="left"/>
              <w:rPr>
                <w:b w:val="0"/>
                <w:iCs/>
                <w:sz w:val="28"/>
                <w:szCs w:val="28"/>
              </w:rPr>
            </w:pPr>
          </w:p>
        </w:tc>
        <w:tc>
          <w:tcPr>
            <w:tcW w:w="5387" w:type="dxa"/>
          </w:tcPr>
          <w:p w:rsidR="00E21605" w:rsidRPr="00D70521" w:rsidRDefault="00E21605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Приложение 20</w:t>
            </w:r>
          </w:p>
          <w:p w:rsidR="00E21605" w:rsidRPr="00D70521" w:rsidRDefault="00E21605" w:rsidP="00E257CC">
            <w:pPr>
              <w:shd w:val="clear" w:color="auto" w:fill="FFFFFF"/>
              <w:tabs>
                <w:tab w:val="center" w:pos="6969"/>
              </w:tabs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 Закону Республики Хакасия</w:t>
            </w:r>
          </w:p>
          <w:p w:rsidR="00E21605" w:rsidRPr="00D70521" w:rsidRDefault="00E21605" w:rsidP="00E257CC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«О республиканском бюджете</w:t>
            </w:r>
          </w:p>
          <w:p w:rsidR="00E21605" w:rsidRPr="00D70521" w:rsidRDefault="00E21605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 xml:space="preserve">Республики Хакасия на 2024 год </w:t>
            </w:r>
          </w:p>
          <w:p w:rsidR="00E21605" w:rsidRPr="00D70521" w:rsidRDefault="00E21605" w:rsidP="00E257CC">
            <w:pPr>
              <w:pStyle w:val="31"/>
              <w:shd w:val="clear" w:color="auto" w:fill="FFFFFF"/>
              <w:tabs>
                <w:tab w:val="left" w:pos="4962"/>
              </w:tabs>
              <w:ind w:right="-108"/>
              <w:jc w:val="left"/>
              <w:rPr>
                <w:b w:val="0"/>
                <w:sz w:val="28"/>
                <w:szCs w:val="28"/>
              </w:rPr>
            </w:pPr>
            <w:r w:rsidRPr="00D70521">
              <w:rPr>
                <w:b w:val="0"/>
                <w:sz w:val="28"/>
                <w:szCs w:val="28"/>
              </w:rPr>
              <w:t>и на плановый период 2025 и 2026 годов»</w:t>
            </w:r>
          </w:p>
        </w:tc>
      </w:tr>
    </w:tbl>
    <w:p w:rsidR="00E21605" w:rsidRPr="00D70521" w:rsidRDefault="00E21605" w:rsidP="00E21605">
      <w:pPr>
        <w:pStyle w:val="31"/>
        <w:shd w:val="clear" w:color="auto" w:fill="FFFFFF"/>
        <w:rPr>
          <w:sz w:val="28"/>
          <w:szCs w:val="28"/>
        </w:rPr>
      </w:pPr>
      <w:r w:rsidRPr="00D70521">
        <w:rPr>
          <w:sz w:val="28"/>
          <w:szCs w:val="28"/>
        </w:rPr>
        <w:t>Программа</w:t>
      </w:r>
    </w:p>
    <w:p w:rsidR="00E21605" w:rsidRPr="00D70521" w:rsidRDefault="00E21605" w:rsidP="00E21605">
      <w:pPr>
        <w:pStyle w:val="31"/>
        <w:shd w:val="clear" w:color="auto" w:fill="FFFFFF"/>
        <w:rPr>
          <w:sz w:val="28"/>
          <w:szCs w:val="28"/>
        </w:rPr>
      </w:pPr>
      <w:r w:rsidRPr="00D70521">
        <w:rPr>
          <w:sz w:val="28"/>
          <w:szCs w:val="28"/>
        </w:rPr>
        <w:t xml:space="preserve">государственных внутренних заимствований Республики Хакасия </w:t>
      </w:r>
    </w:p>
    <w:p w:rsidR="00E21605" w:rsidRPr="00D70521" w:rsidRDefault="00E21605" w:rsidP="00E21605">
      <w:pPr>
        <w:pStyle w:val="31"/>
        <w:shd w:val="clear" w:color="auto" w:fill="FFFFFF"/>
        <w:rPr>
          <w:sz w:val="28"/>
          <w:szCs w:val="28"/>
        </w:rPr>
      </w:pPr>
      <w:r w:rsidRPr="00D70521">
        <w:rPr>
          <w:sz w:val="28"/>
          <w:szCs w:val="28"/>
        </w:rPr>
        <w:t xml:space="preserve">на 2024 год и на плановый период 2025 и 2026 годов </w:t>
      </w:r>
    </w:p>
    <w:p w:rsidR="00E21605" w:rsidRPr="00D70521" w:rsidRDefault="00E21605" w:rsidP="00E21605">
      <w:pPr>
        <w:pStyle w:val="31"/>
        <w:shd w:val="clear" w:color="auto" w:fill="FFFFFF"/>
        <w:rPr>
          <w:sz w:val="28"/>
          <w:szCs w:val="28"/>
        </w:rPr>
      </w:pPr>
    </w:p>
    <w:p w:rsidR="00E21605" w:rsidRPr="00D70521" w:rsidRDefault="00E21605" w:rsidP="00E21605">
      <w:pPr>
        <w:pStyle w:val="31"/>
        <w:shd w:val="clear" w:color="auto" w:fill="FFFFFF"/>
        <w:ind w:right="-141"/>
        <w:jc w:val="right"/>
        <w:rPr>
          <w:b w:val="0"/>
          <w:sz w:val="28"/>
          <w:szCs w:val="28"/>
        </w:rPr>
      </w:pPr>
      <w:r w:rsidRPr="00D70521">
        <w:rPr>
          <w:b w:val="0"/>
          <w:sz w:val="28"/>
          <w:szCs w:val="28"/>
        </w:rPr>
        <w:t>(тыс. рублей)</w:t>
      </w:r>
    </w:p>
    <w:p w:rsidR="00E21605" w:rsidRPr="00D70521" w:rsidRDefault="00E21605" w:rsidP="00E21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E21605" w:rsidRPr="00D70521" w:rsidSect="00E21605">
          <w:headerReference w:type="default" r:id="rId7"/>
          <w:headerReference w:type="first" r:id="rId8"/>
          <w:pgSz w:w="11906" w:h="16838" w:code="9"/>
          <w:pgMar w:top="1134" w:right="709" w:bottom="1134" w:left="1701" w:header="709" w:footer="709" w:gutter="0"/>
          <w:cols w:space="708"/>
          <w:titlePg/>
          <w:docGrid w:linePitch="360"/>
        </w:sectPr>
      </w:pPr>
    </w:p>
    <w:tbl>
      <w:tblPr>
        <w:tblW w:w="10774" w:type="dxa"/>
        <w:tblInd w:w="-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2127"/>
        <w:gridCol w:w="1559"/>
        <w:gridCol w:w="1134"/>
        <w:gridCol w:w="1559"/>
        <w:gridCol w:w="992"/>
        <w:gridCol w:w="1701"/>
        <w:gridCol w:w="993"/>
      </w:tblGrid>
      <w:tr w:rsidR="00E21605" w:rsidRPr="00D70521" w:rsidTr="00E257CC">
        <w:trPr>
          <w:trHeight w:val="209"/>
        </w:trPr>
        <w:tc>
          <w:tcPr>
            <w:tcW w:w="709" w:type="dxa"/>
            <w:vMerge w:val="restart"/>
            <w:vAlign w:val="center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212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Внутренние </w:t>
            </w: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заимствования </w:t>
            </w: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(привлечение/погашение)</w:t>
            </w:r>
          </w:p>
        </w:tc>
        <w:tc>
          <w:tcPr>
            <w:tcW w:w="2693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</w:t>
            </w: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51" w:type="dxa"/>
            <w:gridSpan w:val="2"/>
            <w:vAlign w:val="center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</w:t>
            </w: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  <w:vAlign w:val="center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E21605" w:rsidRPr="00D70521" w:rsidTr="00E257CC">
        <w:trPr>
          <w:trHeight w:val="564"/>
        </w:trPr>
        <w:tc>
          <w:tcPr>
            <w:tcW w:w="709" w:type="dxa"/>
            <w:vMerge/>
            <w:tcBorders>
              <w:bottom w:val="nil"/>
            </w:tcBorders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  <w:tc>
          <w:tcPr>
            <w:tcW w:w="1134" w:type="dxa"/>
            <w:tcBorders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Предельные сроки погашения</w:t>
            </w:r>
          </w:p>
        </w:tc>
        <w:tc>
          <w:tcPr>
            <w:tcW w:w="1559" w:type="dxa"/>
            <w:tcBorders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  <w:tc>
          <w:tcPr>
            <w:tcW w:w="992" w:type="dxa"/>
            <w:tcBorders>
              <w:bottom w:val="nil"/>
            </w:tcBorders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Предельные сроки погашения</w:t>
            </w:r>
          </w:p>
        </w:tc>
        <w:tc>
          <w:tcPr>
            <w:tcW w:w="1701" w:type="dxa"/>
            <w:tcBorders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  <w:tc>
          <w:tcPr>
            <w:tcW w:w="993" w:type="dxa"/>
            <w:tcBorders>
              <w:bottom w:val="nil"/>
              <w:right w:val="single" w:sz="4" w:space="0" w:color="auto"/>
            </w:tcBorders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Предельные сроки погашения</w:t>
            </w:r>
          </w:p>
        </w:tc>
      </w:tr>
    </w:tbl>
    <w:p w:rsidR="00E21605" w:rsidRPr="00D70521" w:rsidRDefault="00E21605" w:rsidP="00E2160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  <w:sectPr w:rsidR="00E21605" w:rsidRPr="00D70521" w:rsidSect="00E45AFA">
          <w:headerReference w:type="default" r:id="rId9"/>
          <w:headerReference w:type="first" r:id="rId10"/>
          <w:type w:val="continuous"/>
          <w:pgSz w:w="11906" w:h="16838" w:code="9"/>
          <w:pgMar w:top="1134" w:right="709" w:bottom="1134" w:left="1701" w:header="709" w:footer="709" w:gutter="0"/>
          <w:cols w:space="708"/>
          <w:titlePg/>
          <w:docGrid w:linePitch="360"/>
        </w:sectPr>
      </w:pPr>
    </w:p>
    <w:tbl>
      <w:tblPr>
        <w:tblW w:w="10774" w:type="dxa"/>
        <w:tblInd w:w="-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2127"/>
        <w:gridCol w:w="1559"/>
        <w:gridCol w:w="1134"/>
        <w:gridCol w:w="1559"/>
        <w:gridCol w:w="992"/>
        <w:gridCol w:w="1701"/>
        <w:gridCol w:w="993"/>
      </w:tblGrid>
      <w:tr w:rsidR="00E21605" w:rsidRPr="00D70521" w:rsidTr="00E257CC">
        <w:trPr>
          <w:trHeight w:val="359"/>
          <w:tblHeader/>
        </w:trPr>
        <w:tc>
          <w:tcPr>
            <w:tcW w:w="709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2127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  <w:vAlign w:val="center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  <w:tr w:rsidR="00E21605" w:rsidRPr="00D70521" w:rsidTr="00E257CC">
        <w:trPr>
          <w:trHeight w:val="144"/>
        </w:trPr>
        <w:tc>
          <w:tcPr>
            <w:tcW w:w="709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12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Государственные ценные бумаги – итого</w:t>
            </w: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-11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1605" w:rsidRPr="00D70521" w:rsidTr="00E257CC">
        <w:trPr>
          <w:trHeight w:val="144"/>
        </w:trPr>
        <w:tc>
          <w:tcPr>
            <w:tcW w:w="709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1605" w:rsidRPr="00D70521" w:rsidTr="00E257CC">
        <w:trPr>
          <w:trHeight w:val="144"/>
        </w:trPr>
        <w:tc>
          <w:tcPr>
            <w:tcW w:w="709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212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Погашение</w:t>
            </w: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1605" w:rsidRPr="00D70521" w:rsidTr="00E257CC">
        <w:trPr>
          <w:trHeight w:val="144"/>
        </w:trPr>
        <w:tc>
          <w:tcPr>
            <w:tcW w:w="709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Кредиты кредитных, финансовых и иных организаций – итого</w:t>
            </w: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6 078 369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7 503 655</w:t>
            </w:r>
          </w:p>
        </w:tc>
        <w:tc>
          <w:tcPr>
            <w:tcW w:w="992" w:type="dxa"/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7 639 101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1605" w:rsidRPr="00D70521" w:rsidTr="00E257CC">
        <w:trPr>
          <w:trHeight w:val="144"/>
        </w:trPr>
        <w:tc>
          <w:tcPr>
            <w:tcW w:w="709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1605" w:rsidRPr="00D70521" w:rsidTr="00E257CC">
        <w:trPr>
          <w:trHeight w:val="144"/>
        </w:trPr>
        <w:tc>
          <w:tcPr>
            <w:tcW w:w="709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212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Привлечение кредитов</w:t>
            </w: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11 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>921</w:t>
            </w: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 3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</w:t>
            </w: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19 425 024</w:t>
            </w:r>
          </w:p>
        </w:tc>
        <w:tc>
          <w:tcPr>
            <w:tcW w:w="992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</w:t>
            </w: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27 064 125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</w:t>
            </w: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7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E21605" w:rsidRPr="00D70521" w:rsidTr="00E257CC">
        <w:trPr>
          <w:trHeight w:val="144"/>
        </w:trPr>
        <w:tc>
          <w:tcPr>
            <w:tcW w:w="709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212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Погашение кредитов</w:t>
            </w: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5 843 000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11 921 369</w:t>
            </w:r>
          </w:p>
        </w:tc>
        <w:tc>
          <w:tcPr>
            <w:tcW w:w="992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19 425 024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1605" w:rsidRPr="00D70521" w:rsidTr="00E257CC">
        <w:trPr>
          <w:trHeight w:val="144"/>
        </w:trPr>
        <w:tc>
          <w:tcPr>
            <w:tcW w:w="709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Бюджетные кредиты, полученные от других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бюджетов бюджетной системы Российской Федерации, – итого</w:t>
            </w: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D7052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1 883 188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D7052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3 753 432</w:t>
            </w:r>
          </w:p>
        </w:tc>
        <w:tc>
          <w:tcPr>
            <w:tcW w:w="992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D7052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3 753 432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1605" w:rsidRPr="00D70521" w:rsidTr="00E257CC">
        <w:trPr>
          <w:trHeight w:val="144"/>
        </w:trPr>
        <w:tc>
          <w:tcPr>
            <w:tcW w:w="709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1605" w:rsidRPr="00D70521" w:rsidTr="00E257CC">
        <w:trPr>
          <w:trHeight w:val="392"/>
        </w:trPr>
        <w:tc>
          <w:tcPr>
            <w:tcW w:w="709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212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Привлечение кредитов, из них</w:t>
            </w: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4 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>334</w:t>
            </w: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 000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3 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>612</w:t>
            </w: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 000</w:t>
            </w:r>
          </w:p>
        </w:tc>
        <w:tc>
          <w:tcPr>
            <w:tcW w:w="992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3 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>748</w:t>
            </w: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000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1605" w:rsidRPr="00D70521" w:rsidTr="00E257CC">
        <w:trPr>
          <w:trHeight w:val="810"/>
        </w:trPr>
        <w:tc>
          <w:tcPr>
            <w:tcW w:w="709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3.1.1</w:t>
            </w:r>
          </w:p>
        </w:tc>
        <w:tc>
          <w:tcPr>
            <w:tcW w:w="212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Привлечение кредитов на пополнение остатков средств на едином счете бюджета</w:t>
            </w: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4 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>334</w:t>
            </w: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 000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</w:t>
            </w: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3 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>612</w:t>
            </w: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 000</w:t>
            </w:r>
          </w:p>
        </w:tc>
        <w:tc>
          <w:tcPr>
            <w:tcW w:w="992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</w:t>
            </w: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3 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>748</w:t>
            </w: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000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202</w:t>
            </w: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E21605" w:rsidRPr="00D70521" w:rsidTr="00E257CC">
        <w:trPr>
          <w:trHeight w:val="144"/>
        </w:trPr>
        <w:tc>
          <w:tcPr>
            <w:tcW w:w="709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212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Погашение кредитов, из них</w:t>
            </w: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6 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>217</w:t>
            </w: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 188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7 3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>65</w:t>
            </w: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 432</w:t>
            </w:r>
          </w:p>
        </w:tc>
        <w:tc>
          <w:tcPr>
            <w:tcW w:w="992" w:type="dxa"/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7 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>501</w:t>
            </w: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432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1605" w:rsidRPr="00D70521" w:rsidTr="00E257CC">
        <w:trPr>
          <w:trHeight w:val="144"/>
        </w:trPr>
        <w:tc>
          <w:tcPr>
            <w:tcW w:w="709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3.2.1</w:t>
            </w:r>
          </w:p>
        </w:tc>
        <w:tc>
          <w:tcPr>
            <w:tcW w:w="212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Погашение задолженности по бюджетным кредитам, привлеченным на пополнение остатков средств на едином счете бюджета</w:t>
            </w: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4 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>334</w:t>
            </w: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 000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3 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>612</w:t>
            </w: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 000</w:t>
            </w:r>
          </w:p>
        </w:tc>
        <w:tc>
          <w:tcPr>
            <w:tcW w:w="992" w:type="dxa"/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3 </w:t>
            </w:r>
            <w:r w:rsidRPr="00D70521">
              <w:rPr>
                <w:rFonts w:ascii="Times New Roman" w:hAnsi="Times New Roman"/>
                <w:sz w:val="28"/>
                <w:szCs w:val="28"/>
              </w:rPr>
              <w:t>748</w:t>
            </w: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000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1605" w:rsidRPr="00D70521" w:rsidTr="00E257CC">
        <w:trPr>
          <w:trHeight w:val="306"/>
        </w:trPr>
        <w:tc>
          <w:tcPr>
            <w:tcW w:w="709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3.2.2</w:t>
            </w:r>
          </w:p>
        </w:tc>
        <w:tc>
          <w:tcPr>
            <w:tcW w:w="212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Погашение задолженности по бюджетным кредитам, полученным субъектом Российской Федерации из федерального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бюджета на строительство (реконструкцию), капитальный ремонт, ремонт и содержание автомобильных дорог общего пользования</w:t>
            </w: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47 61</w:t>
            </w:r>
            <w:r w:rsidRPr="00D7052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992" w:type="dxa"/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47 61</w:t>
            </w:r>
            <w:r w:rsidRPr="00D7052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bottom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1605" w:rsidRPr="00D70521" w:rsidTr="00E257CC">
        <w:trPr>
          <w:trHeight w:val="1122"/>
        </w:trPr>
        <w:tc>
          <w:tcPr>
            <w:tcW w:w="709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3.2.</w:t>
            </w: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12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Погашение задолженности по бюджетным кредитам, привлеченным для частичного покрытия дефицита бюджета</w:t>
            </w: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1 428 964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1 580 259</w:t>
            </w:r>
          </w:p>
        </w:tc>
        <w:tc>
          <w:tcPr>
            <w:tcW w:w="992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1 580 259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1605" w:rsidRPr="00D70521" w:rsidTr="00E257CC">
        <w:trPr>
          <w:trHeight w:val="1502"/>
        </w:trPr>
        <w:tc>
          <w:tcPr>
            <w:tcW w:w="709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3.2.</w:t>
            </w: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12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Погашение задолженности по бюджетным кредитам, привлеченным на финансовое обеспечение реализации инфраструктурных проектов</w:t>
            </w: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13 683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13 683</w:t>
            </w:r>
          </w:p>
        </w:tc>
        <w:tc>
          <w:tcPr>
            <w:tcW w:w="992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13 683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1605" w:rsidRPr="00D70521" w:rsidTr="00E257CC">
        <w:trPr>
          <w:trHeight w:val="250"/>
        </w:trPr>
        <w:tc>
          <w:tcPr>
            <w:tcW w:w="709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3.2.</w:t>
            </w:r>
            <w:r w:rsidRPr="00D70521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12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Погашение задолженности по бюджетным кредитам, привлеченным для погашения бюджетных кредитов на пополнение остатков средств на едином счете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бюджета</w:t>
            </w: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87 150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278 880</w:t>
            </w:r>
          </w:p>
        </w:tc>
        <w:tc>
          <w:tcPr>
            <w:tcW w:w="992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278 880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1605" w:rsidRPr="00D70521" w:rsidTr="00E257CC">
        <w:trPr>
          <w:trHeight w:val="1631"/>
        </w:trPr>
        <w:tc>
          <w:tcPr>
            <w:tcW w:w="709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pacing w:val="-6"/>
                <w:sz w:val="28"/>
                <w:szCs w:val="28"/>
              </w:rPr>
              <w:lastRenderedPageBreak/>
              <w:t>3.2.6</w:t>
            </w:r>
          </w:p>
        </w:tc>
        <w:tc>
          <w:tcPr>
            <w:tcW w:w="212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pacing w:val="-6"/>
                <w:sz w:val="28"/>
                <w:szCs w:val="28"/>
              </w:rPr>
              <w:t>Погашение задолженности по бюджетным кредитам, привлеченным для погашения долговых обязательств в виде обязательств по государственным ценным бумагам и кредитам, полученным от кредитных организаций, иностранных банков и международных финансовых организаций</w:t>
            </w: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1 831 857</w:t>
            </w:r>
          </w:p>
        </w:tc>
        <w:tc>
          <w:tcPr>
            <w:tcW w:w="992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1 831 857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1605" w:rsidRPr="00D70521" w:rsidTr="00E257CC">
        <w:trPr>
          <w:trHeight w:val="1064"/>
        </w:trPr>
        <w:tc>
          <w:tcPr>
            <w:tcW w:w="709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3.2.7</w:t>
            </w:r>
          </w:p>
        </w:tc>
        <w:tc>
          <w:tcPr>
            <w:tcW w:w="212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 в целях опережающего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финансового обеспечения расходных обязательств субъектов Российской Федерации,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инфраструктуры)</w:t>
            </w: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>353 391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1605" w:rsidRPr="00D70521" w:rsidTr="00E257CC">
        <w:trPr>
          <w:trHeight w:val="2329"/>
        </w:trPr>
        <w:tc>
          <w:tcPr>
            <w:tcW w:w="709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3.2.8</w:t>
            </w:r>
          </w:p>
        </w:tc>
        <w:tc>
          <w:tcPr>
            <w:tcW w:w="212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0521">
              <w:rPr>
                <w:rFonts w:ascii="Times New Roman" w:hAnsi="Times New Roman"/>
                <w:sz w:val="28"/>
                <w:szCs w:val="28"/>
              </w:rPr>
              <w:t xml:space="preserve">Погашение бюджетами субъектов Российской Федерации кредитов из других </w:t>
            </w:r>
            <w:r w:rsidRPr="00D70521">
              <w:rPr>
                <w:rFonts w:ascii="Times New Roman" w:hAnsi="Times New Roman"/>
                <w:sz w:val="28"/>
                <w:szCs w:val="28"/>
              </w:rPr>
              <w:lastRenderedPageBreak/>
              <w:t>бюджетов бюджетной системы Российской Федерации в валюте Российской Федерации (специальные казначейские кредиты)</w:t>
            </w: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1 136</w:t>
            </w:r>
          </w:p>
        </w:tc>
        <w:tc>
          <w:tcPr>
            <w:tcW w:w="992" w:type="dxa"/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70521">
              <w:rPr>
                <w:rFonts w:ascii="Times New Roman" w:hAnsi="Times New Roman"/>
                <w:bCs/>
                <w:sz w:val="28"/>
                <w:szCs w:val="28"/>
              </w:rPr>
              <w:t>1 136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E21605" w:rsidRPr="00D70521" w:rsidRDefault="00E21605" w:rsidP="00E257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21605" w:rsidRPr="00D70521" w:rsidRDefault="00E21605" w:rsidP="00E216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E21605" w:rsidRPr="00D70521" w:rsidSect="00E45AFA">
          <w:type w:val="continuous"/>
          <w:pgSz w:w="11906" w:h="16838" w:code="9"/>
          <w:pgMar w:top="1134" w:right="709" w:bottom="1134" w:left="1701" w:header="709" w:footer="709" w:gutter="0"/>
          <w:cols w:space="708"/>
          <w:titlePg/>
          <w:docGrid w:linePitch="360"/>
        </w:sectPr>
      </w:pPr>
    </w:p>
    <w:p w:rsidR="00E21605" w:rsidRPr="009E6A54" w:rsidRDefault="00E21605" w:rsidP="00E21605">
      <w:pPr>
        <w:spacing w:line="240" w:lineRule="auto"/>
        <w:rPr>
          <w:szCs w:val="28"/>
        </w:rPr>
      </w:pPr>
    </w:p>
    <w:p w:rsidR="00E21605" w:rsidRPr="00275C6B" w:rsidRDefault="00E21605" w:rsidP="00E21605">
      <w:pPr>
        <w:rPr>
          <w:szCs w:val="28"/>
        </w:rPr>
      </w:pPr>
    </w:p>
    <w:p w:rsidR="00214FB0" w:rsidRDefault="00214FB0"/>
    <w:sectPr w:rsidR="00214FB0" w:rsidSect="00E35FC1">
      <w:headerReference w:type="default" r:id="rId11"/>
      <w:headerReference w:type="first" r:id="rId12"/>
      <w:footerReference w:type="first" r:id="rId13"/>
      <w:type w:val="continuous"/>
      <w:pgSz w:w="11906" w:h="16838" w:code="9"/>
      <w:pgMar w:top="1134" w:right="850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018" w:rsidRDefault="002A1018" w:rsidP="00EB576E">
      <w:pPr>
        <w:spacing w:after="0" w:line="240" w:lineRule="auto"/>
      </w:pPr>
      <w:r>
        <w:separator/>
      </w:r>
    </w:p>
  </w:endnote>
  <w:endnote w:type="continuationSeparator" w:id="0">
    <w:p w:rsidR="002A1018" w:rsidRDefault="002A1018" w:rsidP="00EB5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0B9" w:rsidRDefault="00033D2B">
    <w:pPr>
      <w:pStyle w:val="a5"/>
      <w:jc w:val="center"/>
    </w:pPr>
    <w:r>
      <w:fldChar w:fldCharType="begin"/>
    </w:r>
    <w:r w:rsidR="00E21605">
      <w:instrText xml:space="preserve"> PAGE   \* MERGEFORMAT </w:instrText>
    </w:r>
    <w:r>
      <w:fldChar w:fldCharType="separate"/>
    </w:r>
    <w:r w:rsidR="00E21605">
      <w:rPr>
        <w:noProof/>
      </w:rPr>
      <w:t>2</w:t>
    </w:r>
    <w:r>
      <w:fldChar w:fldCharType="end"/>
    </w:r>
  </w:p>
  <w:p w:rsidR="004440B9" w:rsidRDefault="002A101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018" w:rsidRDefault="002A1018" w:rsidP="00EB576E">
      <w:pPr>
        <w:spacing w:after="0" w:line="240" w:lineRule="auto"/>
      </w:pPr>
      <w:r>
        <w:separator/>
      </w:r>
    </w:p>
  </w:footnote>
  <w:footnote w:type="continuationSeparator" w:id="0">
    <w:p w:rsidR="002A1018" w:rsidRDefault="002A1018" w:rsidP="00EB5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C6B" w:rsidRPr="000A2643" w:rsidRDefault="00033D2B">
    <w:pPr>
      <w:pStyle w:val="a3"/>
      <w:jc w:val="center"/>
      <w:rPr>
        <w:rFonts w:ascii="Times New Roman" w:hAnsi="Times New Roman"/>
        <w:sz w:val="24"/>
        <w:szCs w:val="24"/>
      </w:rPr>
    </w:pPr>
    <w:r w:rsidRPr="000A2643">
      <w:rPr>
        <w:rFonts w:ascii="Times New Roman" w:hAnsi="Times New Roman"/>
        <w:sz w:val="24"/>
        <w:szCs w:val="24"/>
      </w:rPr>
      <w:fldChar w:fldCharType="begin"/>
    </w:r>
    <w:r w:rsidR="00E21605" w:rsidRPr="000A2643">
      <w:rPr>
        <w:rFonts w:ascii="Times New Roman" w:hAnsi="Times New Roman"/>
        <w:sz w:val="24"/>
        <w:szCs w:val="24"/>
      </w:rPr>
      <w:instrText xml:space="preserve"> PAGE   \* MERGEFORMAT </w:instrText>
    </w:r>
    <w:r w:rsidRPr="000A2643">
      <w:rPr>
        <w:rFonts w:ascii="Times New Roman" w:hAnsi="Times New Roman"/>
        <w:sz w:val="24"/>
        <w:szCs w:val="24"/>
      </w:rPr>
      <w:fldChar w:fldCharType="separate"/>
    </w:r>
    <w:r w:rsidR="00E21605">
      <w:rPr>
        <w:rFonts w:ascii="Times New Roman" w:hAnsi="Times New Roman"/>
        <w:noProof/>
        <w:sz w:val="24"/>
        <w:szCs w:val="24"/>
      </w:rPr>
      <w:t>329</w:t>
    </w:r>
    <w:r w:rsidRPr="000A2643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C6B" w:rsidRPr="00541671" w:rsidRDefault="00033D2B">
    <w:pPr>
      <w:pStyle w:val="a3"/>
      <w:jc w:val="center"/>
      <w:rPr>
        <w:rFonts w:ascii="Times New Roman" w:hAnsi="Times New Roman"/>
        <w:sz w:val="28"/>
        <w:szCs w:val="28"/>
      </w:rPr>
    </w:pPr>
    <w:r w:rsidRPr="00541671">
      <w:rPr>
        <w:rFonts w:ascii="Times New Roman" w:hAnsi="Times New Roman"/>
        <w:sz w:val="28"/>
        <w:szCs w:val="28"/>
      </w:rPr>
      <w:fldChar w:fldCharType="begin"/>
    </w:r>
    <w:r w:rsidR="00E21605" w:rsidRPr="00541671">
      <w:rPr>
        <w:rFonts w:ascii="Times New Roman" w:hAnsi="Times New Roman"/>
        <w:sz w:val="28"/>
        <w:szCs w:val="28"/>
      </w:rPr>
      <w:instrText xml:space="preserve"> PAGE   \* MERGEFORMAT </w:instrText>
    </w:r>
    <w:r w:rsidRPr="00541671">
      <w:rPr>
        <w:rFonts w:ascii="Times New Roman" w:hAnsi="Times New Roman"/>
        <w:sz w:val="28"/>
        <w:szCs w:val="28"/>
      </w:rPr>
      <w:fldChar w:fldCharType="separate"/>
    </w:r>
    <w:r w:rsidR="00541671">
      <w:rPr>
        <w:rFonts w:ascii="Times New Roman" w:hAnsi="Times New Roman"/>
        <w:noProof/>
        <w:sz w:val="28"/>
        <w:szCs w:val="28"/>
      </w:rPr>
      <w:t>1</w:t>
    </w:r>
    <w:r w:rsidRPr="00541671"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C6B" w:rsidRPr="009B4BDB" w:rsidRDefault="00033D2B">
    <w:pPr>
      <w:pStyle w:val="a3"/>
      <w:jc w:val="center"/>
      <w:rPr>
        <w:rFonts w:ascii="Times New Roman" w:hAnsi="Times New Roman"/>
        <w:color w:val="0D0D0D"/>
        <w:sz w:val="26"/>
        <w:szCs w:val="26"/>
      </w:rPr>
    </w:pPr>
    <w:r w:rsidRPr="009B4BDB">
      <w:rPr>
        <w:rFonts w:ascii="Times New Roman" w:hAnsi="Times New Roman"/>
        <w:color w:val="0D0D0D"/>
        <w:sz w:val="26"/>
        <w:szCs w:val="26"/>
      </w:rPr>
      <w:fldChar w:fldCharType="begin"/>
    </w:r>
    <w:r w:rsidR="00E21605" w:rsidRPr="009B4BDB">
      <w:rPr>
        <w:rFonts w:ascii="Times New Roman" w:hAnsi="Times New Roman"/>
        <w:color w:val="0D0D0D"/>
        <w:sz w:val="26"/>
        <w:szCs w:val="26"/>
      </w:rPr>
      <w:instrText xml:space="preserve"> PAGE   \* MERGEFORMAT </w:instrText>
    </w:r>
    <w:r w:rsidRPr="009B4BDB">
      <w:rPr>
        <w:rFonts w:ascii="Times New Roman" w:hAnsi="Times New Roman"/>
        <w:color w:val="0D0D0D"/>
        <w:sz w:val="26"/>
        <w:szCs w:val="26"/>
      </w:rPr>
      <w:fldChar w:fldCharType="separate"/>
    </w:r>
    <w:r w:rsidR="00541671">
      <w:rPr>
        <w:rFonts w:ascii="Times New Roman" w:hAnsi="Times New Roman"/>
        <w:noProof/>
        <w:color w:val="0D0D0D"/>
        <w:sz w:val="26"/>
        <w:szCs w:val="26"/>
      </w:rPr>
      <w:t>4</w:t>
    </w:r>
    <w:r w:rsidRPr="009B4BDB">
      <w:rPr>
        <w:rFonts w:ascii="Times New Roman" w:hAnsi="Times New Roman"/>
        <w:color w:val="0D0D0D"/>
        <w:sz w:val="26"/>
        <w:szCs w:val="26"/>
      </w:rP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C6B" w:rsidRPr="0005187F" w:rsidRDefault="00033D2B">
    <w:pPr>
      <w:pStyle w:val="a3"/>
      <w:jc w:val="center"/>
      <w:rPr>
        <w:sz w:val="28"/>
        <w:szCs w:val="28"/>
      </w:rPr>
    </w:pPr>
    <w:r w:rsidRPr="0005187F">
      <w:rPr>
        <w:sz w:val="28"/>
        <w:szCs w:val="28"/>
      </w:rPr>
      <w:fldChar w:fldCharType="begin"/>
    </w:r>
    <w:r w:rsidR="00E21605" w:rsidRPr="0005187F">
      <w:rPr>
        <w:sz w:val="28"/>
        <w:szCs w:val="28"/>
      </w:rPr>
      <w:instrText xml:space="preserve"> PAGE   \* MERGEFORMAT </w:instrText>
    </w:r>
    <w:r w:rsidRPr="0005187F">
      <w:rPr>
        <w:sz w:val="28"/>
        <w:szCs w:val="28"/>
      </w:rPr>
      <w:fldChar w:fldCharType="separate"/>
    </w:r>
    <w:r w:rsidR="00E21605">
      <w:rPr>
        <w:noProof/>
        <w:sz w:val="28"/>
        <w:szCs w:val="28"/>
      </w:rPr>
      <w:t>1</w:t>
    </w:r>
    <w:r w:rsidRPr="0005187F">
      <w:rPr>
        <w:sz w:val="28"/>
        <w:szCs w:val="28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0B9" w:rsidRPr="0068207B" w:rsidRDefault="00033D2B">
    <w:pPr>
      <w:pStyle w:val="a3"/>
      <w:jc w:val="center"/>
      <w:rPr>
        <w:rFonts w:ascii="Times New Roman" w:hAnsi="Times New Roman"/>
        <w:sz w:val="28"/>
        <w:szCs w:val="28"/>
      </w:rPr>
    </w:pPr>
    <w:r w:rsidRPr="0068207B">
      <w:rPr>
        <w:rFonts w:ascii="Times New Roman" w:hAnsi="Times New Roman"/>
        <w:sz w:val="28"/>
        <w:szCs w:val="28"/>
      </w:rPr>
      <w:fldChar w:fldCharType="begin"/>
    </w:r>
    <w:r w:rsidR="00E21605" w:rsidRPr="0068207B">
      <w:rPr>
        <w:rFonts w:ascii="Times New Roman" w:hAnsi="Times New Roman"/>
        <w:sz w:val="28"/>
        <w:szCs w:val="28"/>
      </w:rPr>
      <w:instrText xml:space="preserve"> PAGE   \* MERGEFORMAT </w:instrText>
    </w:r>
    <w:r w:rsidRPr="0068207B">
      <w:rPr>
        <w:rFonts w:ascii="Times New Roman" w:hAnsi="Times New Roman"/>
        <w:sz w:val="28"/>
        <w:szCs w:val="28"/>
      </w:rPr>
      <w:fldChar w:fldCharType="separate"/>
    </w:r>
    <w:r w:rsidR="00E21605">
      <w:rPr>
        <w:rFonts w:ascii="Times New Roman" w:hAnsi="Times New Roman"/>
        <w:noProof/>
        <w:sz w:val="28"/>
        <w:szCs w:val="28"/>
      </w:rPr>
      <w:t>3</w:t>
    </w:r>
    <w:r w:rsidRPr="0068207B">
      <w:rPr>
        <w:rFonts w:ascii="Times New Roman" w:hAnsi="Times New Roman"/>
        <w:sz w:val="28"/>
        <w:szCs w:val="28"/>
      </w:rPr>
      <w:fldChar w:fldCharType="end"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0B9" w:rsidRPr="00E35FC1" w:rsidRDefault="00033D2B">
    <w:pPr>
      <w:pStyle w:val="a3"/>
      <w:jc w:val="center"/>
      <w:rPr>
        <w:rFonts w:ascii="Times New Roman" w:hAnsi="Times New Roman"/>
        <w:sz w:val="26"/>
        <w:szCs w:val="26"/>
      </w:rPr>
    </w:pPr>
    <w:r w:rsidRPr="00E35FC1">
      <w:rPr>
        <w:rFonts w:ascii="Times New Roman" w:hAnsi="Times New Roman"/>
        <w:sz w:val="26"/>
        <w:szCs w:val="26"/>
      </w:rPr>
      <w:fldChar w:fldCharType="begin"/>
    </w:r>
    <w:r w:rsidR="00E21605" w:rsidRPr="00E35FC1">
      <w:rPr>
        <w:rFonts w:ascii="Times New Roman" w:hAnsi="Times New Roman"/>
        <w:sz w:val="26"/>
        <w:szCs w:val="26"/>
      </w:rPr>
      <w:instrText xml:space="preserve"> PAGE   \* MERGEFORMAT </w:instrText>
    </w:r>
    <w:r w:rsidRPr="00E35FC1">
      <w:rPr>
        <w:rFonts w:ascii="Times New Roman" w:hAnsi="Times New Roman"/>
        <w:sz w:val="26"/>
        <w:szCs w:val="26"/>
      </w:rPr>
      <w:fldChar w:fldCharType="separate"/>
    </w:r>
    <w:r w:rsidR="00E21605">
      <w:rPr>
        <w:rFonts w:ascii="Times New Roman" w:hAnsi="Times New Roman"/>
        <w:noProof/>
        <w:sz w:val="26"/>
        <w:szCs w:val="26"/>
      </w:rPr>
      <w:t>2</w:t>
    </w:r>
    <w:r w:rsidRPr="00E35FC1">
      <w:rPr>
        <w:rFonts w:ascii="Times New Roman" w:hAnsi="Times New Roman"/>
        <w:sz w:val="26"/>
        <w:szCs w:val="26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1605"/>
    <w:rsid w:val="00033D2B"/>
    <w:rsid w:val="00214FB0"/>
    <w:rsid w:val="002A1018"/>
    <w:rsid w:val="00541671"/>
    <w:rsid w:val="00D9107C"/>
    <w:rsid w:val="00E21605"/>
    <w:rsid w:val="00E8192D"/>
    <w:rsid w:val="00EB5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60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6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605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nhideWhenUsed/>
    <w:rsid w:val="00E216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21605"/>
    <w:rPr>
      <w:rFonts w:ascii="Calibri" w:eastAsia="Times New Roman" w:hAnsi="Calibri" w:cs="Times New Roman"/>
    </w:rPr>
  </w:style>
  <w:style w:type="paragraph" w:customStyle="1" w:styleId="31">
    <w:name w:val="Основной текст 31"/>
    <w:basedOn w:val="a"/>
    <w:rsid w:val="00E21605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EECA2-E338-46C8-8EC2-968719DC9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536</Words>
  <Characters>3058</Characters>
  <Application>Microsoft Office Word</Application>
  <DocSecurity>0</DocSecurity>
  <Lines>25</Lines>
  <Paragraphs>7</Paragraphs>
  <ScaleCrop>false</ScaleCrop>
  <Company/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mf13</dc:creator>
  <cp:lastModifiedBy>mf13</cp:lastModifiedBy>
  <cp:revision>4</cp:revision>
  <dcterms:created xsi:type="dcterms:W3CDTF">2023-10-30T05:30:00Z</dcterms:created>
  <dcterms:modified xsi:type="dcterms:W3CDTF">2023-10-30T08:08:00Z</dcterms:modified>
</cp:coreProperties>
</file>